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21.1.0 -->
  <w:body>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p>
    <w:p w:rsidR="00BC499A">
      <w:pPr>
        <w:spacing w:line="580" w:lineRule="exact"/>
        <w:jc w:val="center"/>
        <w:rPr>
          <w:rFonts w:eastAsia="黑体"/>
          <w:w w:val="95"/>
          <w:sz w:val="44"/>
          <w:szCs w:val="44"/>
        </w:rPr>
      </w:pPr>
      <w:r>
        <w:rPr>
          <w:rFonts w:eastAsia="黑体" w:hint="eastAsia"/>
          <w:w w:val="95"/>
          <w:sz w:val="44"/>
          <w:szCs w:val="44"/>
        </w:rPr>
        <w:tab/>
      </w:r>
      <w:r>
        <w:rPr>
          <w:rFonts w:eastAsia="黑体" w:hint="eastAsia"/>
          <w:w w:val="95"/>
          <w:sz w:val="44"/>
          <w:szCs w:val="44"/>
        </w:rPr>
        <w:tab/>
      </w:r>
    </w:p>
    <w:p w:rsidR="00BC499A">
      <w:pPr>
        <w:spacing w:line="580" w:lineRule="exact"/>
        <w:jc w:val="center"/>
        <w:rPr>
          <w:rFonts w:eastAsia="黑体"/>
          <w:w w:val="95"/>
          <w:sz w:val="44"/>
          <w:szCs w:val="44"/>
        </w:rPr>
      </w:pP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天津市河北区疾病预防控制中心</w:t>
      </w:r>
    </w:p>
    <w:p w:rsidR="00BC499A">
      <w:pPr>
        <w:spacing w:line="240" w:lineRule="auto"/>
        <w:jc w:val="center"/>
        <w:rPr>
          <w:rFonts w:ascii="黑体" w:eastAsia="黑体" w:hAnsi="黑体" w:cs="黑体"/>
          <w:sz w:val="48"/>
          <w:szCs w:val="48"/>
        </w:rPr>
      </w:pPr>
      <w:r>
        <w:rPr>
          <w:rFonts w:ascii="黑体" w:eastAsia="黑体" w:hAnsi="黑体" w:cs="黑体" w:hint="eastAsia"/>
          <w:sz w:val="48"/>
          <w:szCs w:val="48"/>
        </w:rPr>
        <w:t>2025</w:t>
      </w:r>
      <w:r w:rsidR="00296995">
        <w:rPr>
          <w:rFonts w:ascii="黑体" w:eastAsia="黑体" w:hAnsi="黑体" w:cs="黑体" w:hint="eastAsia"/>
          <w:sz w:val="48"/>
          <w:szCs w:val="48"/>
        </w:rPr>
        <w:t>年部门预算</w:t>
      </w:r>
    </w:p>
    <w:p w:rsidR="00BC499A">
      <w:pPr>
        <w:spacing w:line="240" w:lineRule="auto"/>
        <w:jc w:val="center"/>
        <w:rPr>
          <w:rFonts w:ascii="方正小标宋简体" w:eastAsia="方正小标宋简体" w:hAnsi="方正小标宋简体" w:cs="方正小标宋简体"/>
          <w:w w:val="95"/>
          <w:sz w:val="48"/>
          <w:szCs w:val="48"/>
        </w:rPr>
      </w:pPr>
    </w:p>
    <w:p w:rsidR="00BC499A">
      <w:pPr>
        <w:spacing w:line="580" w:lineRule="exact"/>
        <w:jc w:val="center"/>
        <w:rPr>
          <w:rFonts w:ascii="楷体_GB2312" w:eastAsia="楷体_GB2312"/>
          <w:sz w:val="36"/>
          <w:szCs w:val="36"/>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30"/>
          <w:szCs w:val="30"/>
        </w:rPr>
      </w:pPr>
    </w:p>
    <w:p w:rsidR="00BC499A">
      <w:pPr>
        <w:spacing w:line="580" w:lineRule="exact"/>
        <w:jc w:val="center"/>
        <w:rPr>
          <w:rFonts w:ascii="黑体" w:eastAsia="黑体"/>
          <w:sz w:val="44"/>
          <w:szCs w:val="44"/>
        </w:rPr>
      </w:pPr>
    </w:p>
    <w:p w:rsidR="00BC499A">
      <w:pPr>
        <w:spacing w:line="600" w:lineRule="exact"/>
        <w:jc w:val="center"/>
        <w:rPr>
          <w:rFonts w:ascii="黑体" w:eastAsia="黑体"/>
          <w:sz w:val="44"/>
          <w:szCs w:val="44"/>
        </w:rPr>
      </w:pPr>
      <w:r>
        <w:rPr>
          <w:rFonts w:ascii="黑体" w:eastAsia="黑体" w:hint="eastAsia"/>
          <w:sz w:val="44"/>
          <w:szCs w:val="44"/>
        </w:rPr>
        <w:t>目   录</w:t>
      </w:r>
    </w:p>
    <w:p w:rsidR="00BC499A">
      <w:pPr>
        <w:spacing w:line="600" w:lineRule="exact"/>
        <w:rPr>
          <w:rFonts w:ascii="黑体" w:eastAsia="黑体"/>
          <w:sz w:val="30"/>
          <w:szCs w:val="30"/>
        </w:rPr>
      </w:pPr>
    </w:p>
    <w:p w:rsidR="00BC499A">
      <w:pPr>
        <w:spacing w:line="600" w:lineRule="exact"/>
        <w:rPr>
          <w:rFonts w:ascii="仿宋_GB2312" w:eastAsia="仿宋_GB2312"/>
          <w:b/>
          <w:sz w:val="30"/>
          <w:szCs w:val="30"/>
        </w:rPr>
      </w:pPr>
      <w:r>
        <w:rPr>
          <w:rFonts w:ascii="仿宋_GB2312" w:eastAsia="仿宋_GB2312" w:hint="eastAsia"/>
          <w:b/>
          <w:sz w:val="30"/>
          <w:szCs w:val="30"/>
        </w:rPr>
        <w:t>第一部分  概 况</w:t>
      </w:r>
    </w:p>
    <w:p w:rsidR="00BC499A">
      <w:pPr>
        <w:spacing w:line="600" w:lineRule="exact"/>
        <w:rPr>
          <w:rFonts w:ascii="仿宋_GB2312" w:eastAsia="仿宋_GB2312"/>
          <w:sz w:val="30"/>
          <w:szCs w:val="30"/>
        </w:rPr>
      </w:pPr>
      <w:r>
        <w:rPr>
          <w:rFonts w:ascii="仿宋_GB2312" w:eastAsia="仿宋_GB2312" w:hint="eastAsia"/>
          <w:sz w:val="30"/>
          <w:szCs w:val="30"/>
        </w:rPr>
        <w:t>一、主要职责</w:t>
      </w:r>
    </w:p>
    <w:p w:rsidR="00BC499A">
      <w:pPr>
        <w:spacing w:line="600" w:lineRule="exact"/>
        <w:rPr>
          <w:rFonts w:ascii="仿宋_GB2312" w:eastAsia="仿宋_GB2312"/>
          <w:sz w:val="30"/>
          <w:szCs w:val="30"/>
        </w:rPr>
      </w:pPr>
      <w:r>
        <w:rPr>
          <w:rFonts w:ascii="仿宋_GB2312" w:eastAsia="仿宋_GB2312" w:hint="eastAsia"/>
          <w:sz w:val="30"/>
          <w:szCs w:val="30"/>
        </w:rPr>
        <w:t>二、机构设置情况</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第二部分  </w:t>
      </w:r>
      <w:r w:rsidR="00230EE4">
        <w:rPr>
          <w:rFonts w:ascii="仿宋_GB2312" w:eastAsia="仿宋_GB2312" w:hint="eastAsia"/>
          <w:b/>
          <w:sz w:val="30"/>
          <w:szCs w:val="30"/>
        </w:rPr>
        <w:t>2025</w:t>
      </w:r>
      <w:r>
        <w:rPr>
          <w:rFonts w:ascii="仿宋_GB2312" w:eastAsia="仿宋_GB2312" w:hint="eastAsia"/>
          <w:b/>
          <w:sz w:val="30"/>
          <w:szCs w:val="30"/>
        </w:rPr>
        <w:t>年部门预算情况说明</w:t>
      </w:r>
    </w:p>
    <w:p w:rsidR="00BC499A">
      <w:pPr>
        <w:spacing w:line="600" w:lineRule="exact"/>
        <w:rPr>
          <w:rFonts w:ascii="仿宋_GB2312" w:eastAsia="仿宋_GB2312"/>
          <w:sz w:val="30"/>
          <w:szCs w:val="30"/>
        </w:rPr>
      </w:pPr>
      <w:r>
        <w:rPr>
          <w:rFonts w:ascii="仿宋_GB2312" w:eastAsia="仿宋_GB2312" w:hint="eastAsia"/>
          <w:sz w:val="30"/>
          <w:szCs w:val="30"/>
        </w:rPr>
        <w:t>一、关于收支总体情况表的说明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二、关于收入总体情况表的说明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三、关于支出总体情况表的说明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四、关于财政拨款收支总体情况表的说明</w:t>
      </w:r>
    </w:p>
    <w:p w:rsidR="00BC499A">
      <w:pPr>
        <w:spacing w:line="600" w:lineRule="exact"/>
        <w:rPr>
          <w:rFonts w:ascii="仿宋_GB2312" w:eastAsia="仿宋_GB2312"/>
          <w:sz w:val="30"/>
          <w:szCs w:val="30"/>
        </w:rPr>
      </w:pPr>
      <w:r>
        <w:rPr>
          <w:rFonts w:ascii="仿宋_GB2312" w:eastAsia="仿宋_GB2312" w:hint="eastAsia"/>
          <w:sz w:val="30"/>
          <w:szCs w:val="30"/>
        </w:rPr>
        <w:t>五、关于一般公共预算支出情况的说明</w:t>
      </w:r>
    </w:p>
    <w:p w:rsidR="00BC499A">
      <w:pPr>
        <w:spacing w:line="600" w:lineRule="exact"/>
        <w:rPr>
          <w:rFonts w:ascii="仿宋_GB2312" w:eastAsia="仿宋_GB2312"/>
          <w:sz w:val="30"/>
          <w:szCs w:val="30"/>
        </w:rPr>
      </w:pPr>
      <w:r>
        <w:rPr>
          <w:rFonts w:ascii="仿宋_GB2312" w:eastAsia="仿宋_GB2312" w:hint="eastAsia"/>
          <w:sz w:val="30"/>
          <w:szCs w:val="30"/>
        </w:rPr>
        <w:t>六、关于一般公共预算基本支出情况表的说明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七、关于一般公共预算“三公”经费支出情况表的说明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八、关于政府性基金预算支出情况表的说明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九、关于国有资本经营预算支出情况表的说明</w:t>
      </w:r>
    </w:p>
    <w:p w:rsidR="00BC499A">
      <w:pPr>
        <w:spacing w:line="600" w:lineRule="exact"/>
        <w:rPr>
          <w:rFonts w:ascii="仿宋_GB2312" w:eastAsia="仿宋_GB2312"/>
          <w:sz w:val="30"/>
          <w:szCs w:val="30"/>
        </w:rPr>
      </w:pPr>
      <w:r>
        <w:rPr>
          <w:rFonts w:ascii="仿宋_GB2312" w:eastAsia="仿宋_GB2312" w:hint="eastAsia"/>
          <w:sz w:val="30"/>
          <w:szCs w:val="30"/>
        </w:rPr>
        <w:t>十、其他重要事项的情况说明</w:t>
      </w:r>
    </w:p>
    <w:p w:rsidR="00BC499A">
      <w:pPr>
        <w:spacing w:line="600" w:lineRule="exact"/>
        <w:rPr>
          <w:rFonts w:ascii="仿宋_GB2312" w:eastAsia="仿宋_GB2312"/>
          <w:b/>
          <w:sz w:val="30"/>
          <w:szCs w:val="30"/>
        </w:rPr>
      </w:pPr>
      <w:r>
        <w:rPr>
          <w:rFonts w:ascii="仿宋_GB2312" w:eastAsia="仿宋_GB2312" w:hint="eastAsia"/>
          <w:b/>
          <w:sz w:val="30"/>
          <w:szCs w:val="30"/>
        </w:rPr>
        <w:t>第三部分  名词解释</w:t>
      </w:r>
    </w:p>
    <w:p w:rsidR="00BC499A">
      <w:pPr>
        <w:spacing w:line="600" w:lineRule="exact"/>
        <w:rPr>
          <w:rFonts w:ascii="仿宋_GB2312" w:eastAsia="仿宋_GB2312"/>
          <w:b/>
          <w:sz w:val="30"/>
          <w:szCs w:val="30"/>
        </w:rPr>
      </w:pPr>
      <w:r>
        <w:rPr>
          <w:rFonts w:ascii="仿宋_GB2312" w:eastAsia="仿宋_GB2312" w:hint="eastAsia"/>
          <w:b/>
          <w:sz w:val="30"/>
          <w:szCs w:val="30"/>
        </w:rPr>
        <w:t xml:space="preserve">第四部分  </w:t>
      </w:r>
      <w:r w:rsidR="00230EE4">
        <w:rPr>
          <w:rFonts w:ascii="仿宋_GB2312" w:eastAsia="仿宋_GB2312" w:hint="eastAsia"/>
          <w:b/>
          <w:sz w:val="30"/>
          <w:szCs w:val="30"/>
        </w:rPr>
        <w:t>2025</w:t>
      </w:r>
      <w:r>
        <w:rPr>
          <w:rFonts w:ascii="仿宋_GB2312" w:eastAsia="仿宋_GB2312" w:hint="eastAsia"/>
          <w:b/>
          <w:sz w:val="30"/>
          <w:szCs w:val="30"/>
        </w:rPr>
        <w:t>年部门预算表</w:t>
      </w:r>
    </w:p>
    <w:p w:rsidR="00BC499A">
      <w:pPr>
        <w:spacing w:line="600" w:lineRule="exact"/>
        <w:rPr>
          <w:rFonts w:ascii="仿宋_GB2312" w:eastAsia="仿宋_GB2312"/>
          <w:sz w:val="30"/>
          <w:szCs w:val="30"/>
        </w:rPr>
      </w:pPr>
      <w:r>
        <w:rPr>
          <w:rFonts w:ascii="仿宋_GB2312" w:eastAsia="仿宋_GB2312" w:hint="eastAsia"/>
          <w:sz w:val="30"/>
          <w:szCs w:val="30"/>
        </w:rPr>
        <w:t>一、部门收支总体情况表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二、部门收入总体情况表</w:t>
      </w:r>
    </w:p>
    <w:p w:rsidR="00BC499A">
      <w:pPr>
        <w:spacing w:line="600" w:lineRule="exact"/>
        <w:rPr>
          <w:rFonts w:ascii="仿宋_GB2312" w:eastAsia="仿宋_GB2312"/>
          <w:sz w:val="30"/>
          <w:szCs w:val="30"/>
        </w:rPr>
      </w:pPr>
      <w:r>
        <w:rPr>
          <w:rFonts w:ascii="仿宋_GB2312" w:eastAsia="仿宋_GB2312" w:hint="eastAsia"/>
          <w:sz w:val="30"/>
          <w:szCs w:val="30"/>
        </w:rPr>
        <w:t>三、部门支出总体情况表</w:t>
      </w:r>
    </w:p>
    <w:p w:rsidR="00BC499A">
      <w:pPr>
        <w:spacing w:line="600" w:lineRule="exact"/>
        <w:rPr>
          <w:rFonts w:ascii="仿宋_GB2312" w:eastAsia="仿宋_GB2312"/>
          <w:sz w:val="30"/>
          <w:szCs w:val="30"/>
        </w:rPr>
      </w:pPr>
      <w:r>
        <w:rPr>
          <w:rFonts w:ascii="仿宋_GB2312" w:eastAsia="仿宋_GB2312" w:hint="eastAsia"/>
          <w:sz w:val="30"/>
          <w:szCs w:val="30"/>
        </w:rPr>
        <w:t>四、财政拨款收支总体情况表</w:t>
      </w:r>
    </w:p>
    <w:p w:rsidR="00BC499A">
      <w:pPr>
        <w:spacing w:line="600" w:lineRule="exact"/>
        <w:rPr>
          <w:rFonts w:ascii="仿宋_GB2312" w:eastAsia="仿宋_GB2312"/>
          <w:sz w:val="30"/>
          <w:szCs w:val="30"/>
        </w:rPr>
      </w:pPr>
      <w:r>
        <w:rPr>
          <w:rFonts w:ascii="仿宋_GB2312" w:eastAsia="仿宋_GB2312" w:hint="eastAsia"/>
          <w:sz w:val="30"/>
          <w:szCs w:val="30"/>
        </w:rPr>
        <w:t>五、一般公共预算支出情况表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六、一般公共预算基本支出情况表</w:t>
      </w:r>
    </w:p>
    <w:p w:rsidR="00BC499A">
      <w:pPr>
        <w:spacing w:line="600" w:lineRule="exact"/>
        <w:rPr>
          <w:rFonts w:ascii="仿宋_GB2312" w:eastAsia="仿宋_GB2312"/>
          <w:sz w:val="30"/>
          <w:szCs w:val="30"/>
        </w:rPr>
      </w:pPr>
      <w:r>
        <w:rPr>
          <w:rFonts w:ascii="仿宋_GB2312" w:eastAsia="仿宋_GB2312" w:hint="eastAsia"/>
          <w:sz w:val="30"/>
          <w:szCs w:val="30"/>
        </w:rPr>
        <w:t>七、一般公共预算“三公”经费支出情况表</w:t>
      </w:r>
    </w:p>
    <w:p w:rsidR="00BC499A">
      <w:pPr>
        <w:spacing w:line="600" w:lineRule="exact"/>
        <w:rPr>
          <w:rFonts w:ascii="仿宋_GB2312" w:eastAsia="仿宋_GB2312"/>
          <w:sz w:val="30"/>
          <w:szCs w:val="30"/>
        </w:rPr>
      </w:pPr>
      <w:r>
        <w:rPr>
          <w:rFonts w:ascii="仿宋_GB2312" w:eastAsia="仿宋_GB2312" w:hint="eastAsia"/>
          <w:sz w:val="30"/>
          <w:szCs w:val="30"/>
        </w:rPr>
        <w:t>八、政府性基金预算支出情况表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九、国有资本经营预算支出情况表</w:t>
      </w:r>
    </w:p>
    <w:p w:rsidR="00BC499A">
      <w:pPr>
        <w:spacing w:line="600" w:lineRule="exact"/>
        <w:rPr>
          <w:rFonts w:ascii="仿宋_GB2312" w:eastAsia="仿宋_GB2312"/>
          <w:sz w:val="30"/>
          <w:szCs w:val="30"/>
        </w:rPr>
      </w:pPr>
      <w:r>
        <w:rPr>
          <w:rFonts w:ascii="仿宋_GB2312" w:eastAsia="仿宋_GB2312" w:hint="eastAsia"/>
          <w:sz w:val="30"/>
          <w:szCs w:val="30"/>
        </w:rPr>
        <w:t>十、项目支出表</w:t>
      </w:r>
    </w:p>
    <w:p w:rsidR="00BC499A">
      <w:pPr>
        <w:spacing w:line="600" w:lineRule="exact"/>
        <w:rPr>
          <w:rFonts w:ascii="仿宋_GB2312" w:eastAsia="仿宋_GB2312"/>
          <w:sz w:val="30"/>
          <w:szCs w:val="30"/>
        </w:rPr>
      </w:pPr>
      <w:r>
        <w:rPr>
          <w:rFonts w:ascii="仿宋_GB2312" w:eastAsia="仿宋_GB2312" w:hint="eastAsia"/>
          <w:sz w:val="30"/>
          <w:szCs w:val="30"/>
        </w:rPr>
        <w:t>十一、关于空表的说明</w:t>
      </w:r>
      <w:r>
        <w:rPr>
          <w:rFonts w:ascii="仿宋_GB2312" w:eastAsia="仿宋_GB2312" w:hint="eastAsia"/>
          <w:sz w:val="30"/>
          <w:szCs w:val="30"/>
        </w:rPr>
        <w:tab/>
      </w:r>
    </w:p>
    <w:p w:rsidR="00BC499A">
      <w:pPr>
        <w:spacing w:line="600" w:lineRule="exact"/>
        <w:rPr>
          <w:rFonts w:ascii="仿宋_GB2312" w:eastAsia="仿宋_GB2312"/>
          <w:b/>
          <w:sz w:val="30"/>
          <w:szCs w:val="30"/>
        </w:rPr>
      </w:pPr>
      <w:r w:rsidRPr="009B2E42">
        <w:rPr>
          <w:rFonts w:ascii="仿宋_GB2312" w:eastAsia="仿宋_GB2312"/>
          <w:b/>
          <w:sz w:val="30"/>
          <w:szCs w:val="30"/>
        </w:rPr>
        <w:fldChar w:fldCharType="begin"/>
      </w:r>
      <w:r w:rsidR="00296995">
        <w:rPr>
          <w:rFonts w:ascii="仿宋_GB2312" w:eastAsia="仿宋_GB2312" w:hint="eastAsia"/>
          <w:b/>
          <w:sz w:val="30"/>
          <w:szCs w:val="30"/>
        </w:rPr>
        <w:instrText>TOC \o "1-3" \h \z \u</w:instrText>
      </w:r>
      <w:r w:rsidRPr="009B2E42">
        <w:rPr>
          <w:rFonts w:ascii="仿宋_GB2312" w:eastAsia="仿宋_GB2312"/>
          <w:b/>
          <w:sz w:val="30"/>
          <w:szCs w:val="30"/>
        </w:rPr>
        <w:fldChar w:fldCharType="separate"/>
      </w:r>
    </w:p>
    <w:p w:rsidR="00BC499A">
      <w:pPr>
        <w:spacing w:line="600" w:lineRule="exact"/>
        <w:jc w:val="both"/>
        <w:rPr>
          <w:rFonts w:ascii="仿宋_GB2312" w:eastAsia="仿宋_GB2312"/>
          <w:sz w:val="30"/>
          <w:szCs w:val="30"/>
        </w:rPr>
      </w:pPr>
      <w:r>
        <w:rPr>
          <w:rFonts w:ascii="仿宋_GB2312" w:eastAsia="仿宋_GB2312"/>
          <w:sz w:val="30"/>
          <w:szCs w:val="30"/>
        </w:rPr>
        <w:fldChar w:fldCharType="end"/>
      </w: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ascii="仿宋_GB2312" w:eastAsia="仿宋_GB2312"/>
          <w:sz w:val="30"/>
          <w:szCs w:val="30"/>
        </w:rPr>
      </w:pPr>
    </w:p>
    <w:p w:rsidR="00BC499A">
      <w:pPr>
        <w:spacing w:line="600" w:lineRule="exact"/>
        <w:jc w:val="both"/>
        <w:rPr>
          <w:rFonts w:eastAsia="黑体"/>
          <w:w w:val="95"/>
          <w:sz w:val="44"/>
          <w:szCs w:val="44"/>
        </w:rPr>
      </w:pPr>
    </w:p>
    <w:p w:rsidR="00BC499A">
      <w:pPr>
        <w:pStyle w:val="TOC2"/>
        <w:tabs>
          <w:tab w:val="right" w:leader="dot" w:pos="8296"/>
        </w:tabs>
        <w:spacing w:line="600" w:lineRule="exact"/>
        <w:ind w:left="0"/>
        <w:rPr>
          <w:rFonts w:ascii="黑体" w:eastAsia="黑体"/>
          <w:sz w:val="30"/>
          <w:szCs w:val="30"/>
        </w:rPr>
        <w:sectPr>
          <w:headerReference w:type="default" r:id="rId4"/>
          <w:footerReference w:type="even" r:id="rId5"/>
          <w:footerReference w:type="default" r:id="rId6"/>
          <w:pgSz w:w="11907" w:h="16840"/>
          <w:pgMar w:top="2098" w:right="1474" w:bottom="1304" w:left="1588" w:header="765" w:footer="765" w:gutter="0"/>
          <w:pgNumType w:fmt="numberInDash" w:start="1"/>
          <w:cols w:space="720"/>
          <w:docGrid w:linePitch="326"/>
        </w:sectPr>
      </w:pPr>
    </w:p>
    <w:p w:rsidR="00BC499A">
      <w:pPr>
        <w:pStyle w:val="Heading1"/>
        <w:spacing w:line="600" w:lineRule="exact"/>
        <w:jc w:val="center"/>
        <w:rPr>
          <w:rFonts w:ascii="黑体" w:eastAsia="黑体" w:hAnsi="黑体" w:cs="黑体"/>
          <w:b w:val="0"/>
        </w:rPr>
      </w:pPr>
      <w:bookmarkStart w:id="0" w:name="_Toc78784554"/>
      <w:r>
        <w:rPr>
          <w:rFonts w:ascii="黑体" w:eastAsia="黑体" w:hAnsi="黑体" w:cs="黑体" w:hint="eastAsia"/>
          <w:b w:val="0"/>
        </w:rPr>
        <w:t>第一部分  概 况</w:t>
      </w:r>
      <w:bookmarkEnd w:id="0"/>
    </w:p>
    <w:p w:rsidR="00BC499A">
      <w:pPr>
        <w:spacing w:line="600" w:lineRule="exact"/>
      </w:pPr>
    </w:p>
    <w:p w:rsidR="00BC499A">
      <w:pPr>
        <w:pStyle w:val="Heading2"/>
        <w:spacing w:line="600" w:lineRule="exact"/>
        <w:ind w:firstLine="600" w:firstLineChars="200"/>
        <w:rPr>
          <w:rFonts w:ascii="黑体" w:eastAsia="黑体" w:hAnsi="黑体"/>
          <w:sz w:val="30"/>
          <w:szCs w:val="30"/>
        </w:rPr>
      </w:pPr>
      <w:bookmarkStart w:id="1" w:name="_Toc78784555"/>
      <w:r>
        <w:rPr>
          <w:rFonts w:ascii="黑体" w:eastAsia="黑体" w:hAnsi="黑体" w:hint="eastAsia"/>
          <w:sz w:val="30"/>
          <w:szCs w:val="30"/>
        </w:rPr>
        <w:t>一、主要职责</w:t>
      </w:r>
      <w:bookmarkEnd w:id="1"/>
    </w:p>
    <w:p w:rsidR="00BC499A">
      <w:pPr>
        <w:autoSpaceDE w:val="0"/>
        <w:autoSpaceDN w:val="0"/>
        <w:spacing w:line="580" w:lineRule="exact"/>
        <w:ind w:firstLine="600" w:firstLineChars="200"/>
        <w:textAlignment w:val="auto"/>
        <w:rPr>
          <w:rFonts w:ascii="仿宋_GB2312" w:eastAsia="仿宋_GB2312"/>
          <w:sz w:val="30"/>
          <w:szCs w:val="30"/>
        </w:rPr>
      </w:pPr>
      <w:bookmarkStart w:id="2" w:name="_Toc78784556"/>
      <w:r>
        <w:rPr>
          <w:rFonts w:ascii="仿宋_GB2312" w:eastAsia="仿宋_GB2312" w:hint="eastAsia"/>
          <w:sz w:val="30"/>
          <w:szCs w:val="30"/>
        </w:rPr>
        <w:t>（一）传染病、寄生虫病、地方病、非传染性疾病等预防控制。</w:t>
        <w:br/>
        <w:t>（二）突发公共卫生事件和灾害疫情应急处置。</w:t>
        <w:br/>
        <w:t>（三）疫情及健康相关因素信息管理，开展疾病监测，收集、报告、分析和评价疾病与健康危害因素等公共卫生信息。</w:t>
        <w:br/>
        <w:t>（四）健康危害因素监测与干预，开展食源性、职业性、放射性、环境性等疾病的监测评价和流行病学调查，开展公共健康和营养状况监测与评价，提出干预策略与措施。</w:t>
        <w:br/>
        <w:t>（五）疾病病原生物检测、鉴定和物理、化学因子检测、评价。</w:t>
        <w:br/>
        <w:t>（六）健康教育与健康促进，对公众进行健康指导和不良行为干预。</w:t>
        <w:br/>
        <w:t>（七）疾病预防控制技术管理与应用研究指导等。</w:t>
      </w:r>
    </w:p>
    <w:p w:rsidR="00BC499A">
      <w:pPr>
        <w:pStyle w:val="Heading2"/>
        <w:spacing w:line="600" w:lineRule="exact"/>
        <w:ind w:firstLine="600" w:firstLineChars="200"/>
        <w:rPr>
          <w:rFonts w:ascii="黑体" w:eastAsia="黑体" w:hAnsi="黑体"/>
          <w:sz w:val="30"/>
          <w:szCs w:val="30"/>
        </w:rPr>
      </w:pPr>
      <w:r>
        <w:rPr>
          <w:rFonts w:ascii="黑体" w:eastAsia="黑体" w:hAnsi="黑体" w:hint="eastAsia"/>
          <w:sz w:val="30"/>
          <w:szCs w:val="30"/>
        </w:rPr>
        <w:t>二、机构设置</w:t>
      </w:r>
      <w:bookmarkEnd w:id="2"/>
      <w:r>
        <w:rPr>
          <w:rFonts w:ascii="黑体" w:eastAsia="黑体" w:hAnsi="黑体" w:hint="eastAsia"/>
          <w:sz w:val="30"/>
          <w:szCs w:val="30"/>
        </w:rPr>
        <w:t>情况</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天津市河北区疾病预防控制中心</w:t>
      </w:r>
      <w:r w:rsidR="00296995">
        <w:rPr>
          <w:rFonts w:ascii="仿宋_GB2312" w:eastAsia="仿宋_GB2312" w:hint="eastAsia"/>
          <w:sz w:val="30"/>
          <w:szCs w:val="30"/>
        </w:rPr>
        <w:t>内设</w:t>
      </w:r>
      <w:r>
        <w:rPr>
          <w:rFonts w:ascii="仿宋_GB2312" w:eastAsia="仿宋_GB2312" w:hint="eastAsia"/>
          <w:sz w:val="30"/>
          <w:szCs w:val="30"/>
        </w:rPr>
        <w:t>4</w:t>
      </w:r>
      <w:r w:rsidR="00296995">
        <w:rPr>
          <w:rFonts w:ascii="仿宋_GB2312" w:eastAsia="仿宋_GB2312" w:hint="eastAsia"/>
          <w:sz w:val="30"/>
          <w:szCs w:val="30"/>
        </w:rPr>
        <w:t>个职能处室；下辖</w:t>
      </w:r>
      <w:r>
        <w:rPr>
          <w:rFonts w:ascii="仿宋_GB2312" w:eastAsia="仿宋_GB2312" w:hint="eastAsia"/>
          <w:sz w:val="30"/>
          <w:szCs w:val="30"/>
        </w:rPr>
        <w:t>1</w:t>
      </w:r>
      <w:r w:rsidR="00296995">
        <w:rPr>
          <w:rFonts w:ascii="仿宋_GB2312" w:eastAsia="仿宋_GB2312" w:hint="eastAsia"/>
          <w:sz w:val="30"/>
          <w:szCs w:val="30"/>
        </w:rPr>
        <w:t>个预算单位。</w:t>
      </w:r>
    </w:p>
    <w:p w:rsidR="00BC499A">
      <w:pPr>
        <w:autoSpaceDE w:val="0"/>
        <w:autoSpaceDN w:val="0"/>
        <w:spacing w:line="580" w:lineRule="exact"/>
        <w:ind w:firstLine="600" w:firstLineChars="200"/>
        <w:textAlignment w:val="auto"/>
        <w:rPr>
          <w:rFonts w:ascii="仿宋_GB2312" w:eastAsia="仿宋_GB2312"/>
          <w:sz w:val="30"/>
          <w:szCs w:val="30"/>
        </w:rPr>
      </w:pPr>
      <w:r>
        <w:rPr>
          <w:rFonts w:ascii="仿宋_GB2312" w:eastAsia="仿宋_GB2312" w:hint="eastAsia"/>
          <w:sz w:val="30"/>
          <w:szCs w:val="30"/>
        </w:rPr>
        <w:t>纳入</w:t>
      </w:r>
      <w:r w:rsidR="00461215">
        <w:rPr>
          <w:rFonts w:ascii="仿宋_GB2312" w:eastAsia="仿宋_GB2312" w:hint="eastAsia"/>
          <w:sz w:val="30"/>
          <w:szCs w:val="30"/>
        </w:rPr>
        <w:t>天津市河北区疾病预防控制中心</w:t>
      </w:r>
      <w:r w:rsidR="00230EE4">
        <w:rPr>
          <w:rFonts w:ascii="仿宋_GB2312" w:eastAsia="仿宋_GB2312" w:hint="eastAsia"/>
          <w:sz w:val="30"/>
          <w:szCs w:val="30"/>
        </w:rPr>
        <w:t>2025</w:t>
      </w:r>
      <w:r>
        <w:rPr>
          <w:rFonts w:ascii="仿宋_GB2312" w:eastAsia="仿宋_GB2312" w:hint="eastAsia"/>
          <w:sz w:val="30"/>
          <w:szCs w:val="30"/>
        </w:rPr>
        <w:t>年部门预算编制范围的预算单位包括：</w:t>
      </w:r>
    </w:p>
    <w:p w:rsidR="00BC499A">
      <w:pPr>
        <w:spacing w:line="600" w:lineRule="exact"/>
        <w:ind w:firstLine="600"/>
        <w:jc w:val="both"/>
        <w:rPr>
          <w:rFonts w:ascii="仿宋_GB2312" w:eastAsia="仿宋_GB2312"/>
          <w:sz w:val="30"/>
          <w:szCs w:val="30"/>
        </w:rPr>
        <w:sectPr>
          <w:footerReference w:type="default" r:id="rId7"/>
          <w:pgSz w:w="11907" w:h="16840"/>
          <w:pgMar w:top="2098" w:right="1474" w:bottom="1304" w:left="1588" w:header="765" w:footer="765" w:gutter="0"/>
          <w:pgNumType w:fmt="numberInDash" w:start="1"/>
          <w:cols w:space="720"/>
          <w:docGrid w:linePitch="326"/>
        </w:sectPr>
      </w:pPr>
      <w:r>
        <w:rPr>
          <w:rFonts w:ascii="仿宋_GB2312" w:eastAsia="仿宋_GB2312" w:hint="eastAsia"/>
          <w:sz w:val="30"/>
          <w:szCs w:val="30"/>
        </w:rPr>
        <w:t>1.天津市河北区疾病预防控制中心</w:t>
      </w:r>
    </w:p>
    <w:p w:rsidR="00BC499A">
      <w:pPr>
        <w:pStyle w:val="Heading1"/>
        <w:spacing w:line="600" w:lineRule="exact"/>
        <w:jc w:val="center"/>
        <w:rPr>
          <w:rFonts w:ascii="黑体" w:eastAsia="黑体"/>
          <w:sz w:val="30"/>
          <w:szCs w:val="30"/>
        </w:rPr>
      </w:pPr>
      <w:bookmarkStart w:id="3" w:name="_Toc78784570"/>
      <w:r>
        <w:rPr>
          <w:rFonts w:ascii="黑体" w:eastAsia="黑体" w:hAnsi="黑体" w:cs="黑体" w:hint="eastAsia"/>
        </w:rPr>
        <w:t xml:space="preserve">第二部分  </w:t>
      </w:r>
      <w:r w:rsidR="00230EE4">
        <w:rPr>
          <w:rFonts w:ascii="黑体" w:eastAsia="黑体" w:hAnsi="黑体" w:cs="黑体" w:hint="eastAsia"/>
        </w:rPr>
        <w:t>2025</w:t>
      </w:r>
      <w:r>
        <w:rPr>
          <w:rFonts w:ascii="黑体" w:eastAsia="黑体" w:hAnsi="黑体" w:cs="黑体" w:hint="eastAsia"/>
        </w:rPr>
        <w:t>年部门预算情况说明</w:t>
      </w:r>
      <w:bookmarkEnd w:id="3"/>
    </w:p>
    <w:p w:rsidR="00BC499A">
      <w:pPr>
        <w:pStyle w:val="Heading2"/>
        <w:spacing w:line="600" w:lineRule="exact"/>
        <w:ind w:firstLine="600" w:firstLineChars="200"/>
        <w:rPr>
          <w:rFonts w:ascii="黑体" w:eastAsia="黑体" w:hAnsi="黑体"/>
          <w:b w:val="0"/>
          <w:sz w:val="30"/>
          <w:szCs w:val="30"/>
        </w:rPr>
      </w:pPr>
      <w:bookmarkStart w:id="4" w:name="_Toc78784571"/>
      <w:r>
        <w:rPr>
          <w:rFonts w:ascii="黑体" w:eastAsia="黑体" w:hAnsi="黑体" w:hint="eastAsia"/>
          <w:b w:val="0"/>
          <w:sz w:val="30"/>
          <w:szCs w:val="30"/>
        </w:rPr>
        <w:t>一、关于收支总体情况</w:t>
      </w:r>
      <w:bookmarkEnd w:id="4"/>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按照综合预算的原则，天津市河北区疾病预防控制中心所有收入和支出均纳入部门预算管理。收入包括：一般公共预算拨款收入27,343,795.00元、政府性基金预算拨款收入0.00元、国有资本经营预算拨款收入0.00元、财政专户管理资金收入0.00元、事业收入0.00元、事业单位经营收入0.00元、上级补助收入0.00元、附属单位上缴收入0.00元、其他收入0.00元、上年结转结余35,123,170.01元；支出包括：社会保障和就业支出2,621,360.00元、卫生健康支出59,845,600.01元、其他支出5.00元。天津市河北区疾病预防控制中心2025年收支总预算62,466,965.01元。</w:t>
      </w:r>
    </w:p>
    <w:p w:rsidR="00BC499A">
      <w:pPr>
        <w:pStyle w:val="Heading2"/>
        <w:spacing w:line="600" w:lineRule="exact"/>
        <w:ind w:firstLine="600" w:firstLineChars="200"/>
        <w:rPr>
          <w:rFonts w:ascii="黑体" w:eastAsia="黑体" w:hAnsi="黑体" w:cs="仿宋_GB2312"/>
          <w:b w:val="0"/>
          <w:sz w:val="30"/>
          <w:szCs w:val="30"/>
        </w:rPr>
      </w:pPr>
      <w:bookmarkStart w:id="5" w:name="_Toc78784572"/>
      <w:r>
        <w:rPr>
          <w:rFonts w:ascii="黑体" w:eastAsia="黑体" w:hAnsi="黑体" w:cs="仿宋_GB2312" w:hint="eastAsia"/>
          <w:b w:val="0"/>
          <w:sz w:val="30"/>
          <w:szCs w:val="30"/>
        </w:rPr>
        <w:t>二、关于收入总体情况</w:t>
      </w:r>
      <w:bookmarkEnd w:id="5"/>
      <w:r>
        <w:rPr>
          <w:rFonts w:ascii="黑体" w:eastAsia="黑体" w:hAnsi="黑体" w:cs="仿宋_GB2312" w:hint="eastAsia"/>
          <w:b w:val="0"/>
          <w:sz w:val="30"/>
          <w:szCs w:val="30"/>
        </w:rPr>
        <w:t>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疾病预防控制中心2025年部门预算收入62,466,965.01元，与2024年预算相比减少66,447,474.75元，主要原因是人员、项目经费减少。其中：上年结转结余35,123,170.01元，占56.23%；一般公共预算27,343,795.00元，占43.77%；政府性基金预算0.00元，占0.00%；国有资本经营预算0.00元，占0.00%；财政专户管理资金0.00元，占0.00%；事业收入0.00元，占0.00%；事业单位经营收入0.00元，占0.00%；上级补助收入0.00元，占0.00%；附属单位上缴收入0.00元，占0.00%；其他收入0.00元，占0.00%。</w:t>
      </w:r>
    </w:p>
    <w:p w:rsidR="00BC499A">
      <w:pPr>
        <w:pStyle w:val="Heading2"/>
        <w:spacing w:line="600" w:lineRule="exact"/>
        <w:ind w:firstLine="600" w:firstLineChars="200"/>
        <w:rPr>
          <w:rFonts w:ascii="黑体" w:eastAsia="黑体" w:hAnsi="黑体" w:cs="仿宋_GB2312"/>
          <w:b w:val="0"/>
          <w:sz w:val="30"/>
          <w:szCs w:val="30"/>
        </w:rPr>
      </w:pPr>
      <w:bookmarkStart w:id="6" w:name="_Toc78784573"/>
      <w:r>
        <w:rPr>
          <w:rFonts w:ascii="黑体" w:eastAsia="黑体" w:hAnsi="黑体" w:cs="仿宋_GB2312" w:hint="eastAsia"/>
          <w:b w:val="0"/>
          <w:sz w:val="30"/>
          <w:szCs w:val="30"/>
        </w:rPr>
        <w:t>三、关于</w:t>
      </w:r>
      <w:r>
        <w:rPr>
          <w:rFonts w:ascii="黑体" w:eastAsia="黑体" w:hAnsi="黑体" w:cs="仿宋_GB2312"/>
          <w:b w:val="0"/>
          <w:sz w:val="30"/>
          <w:szCs w:val="30"/>
        </w:rPr>
        <w:t>支出</w:t>
      </w:r>
      <w:r>
        <w:rPr>
          <w:rFonts w:ascii="黑体" w:eastAsia="黑体" w:hAnsi="黑体" w:cs="仿宋_GB2312" w:hint="eastAsia"/>
          <w:b w:val="0"/>
          <w:sz w:val="30"/>
          <w:szCs w:val="30"/>
        </w:rPr>
        <w:t>总体情况表</w:t>
      </w:r>
      <w:bookmarkEnd w:id="6"/>
      <w:r>
        <w:rPr>
          <w:rFonts w:ascii="黑体" w:eastAsia="黑体" w:hAnsi="黑体" w:cs="仿宋_GB2312" w:hint="eastAsia"/>
          <w:b w:val="0"/>
          <w:sz w:val="30"/>
          <w:szCs w:val="30"/>
        </w:rPr>
        <w:t>的说明</w:t>
      </w:r>
    </w:p>
    <w:p w:rsidR="00BC499A">
      <w:pPr>
        <w:spacing w:line="600" w:lineRule="exact"/>
        <w:ind w:firstLine="600" w:firstLineChars="200"/>
        <w:rPr>
          <w:rFonts w:eastAsia="仿宋_GB2312"/>
          <w:sz w:val="30"/>
          <w:szCs w:val="30"/>
        </w:rPr>
      </w:pPr>
      <w:bookmarkStart w:id="7" w:name="_Toc78784574"/>
      <w:r>
        <w:rPr>
          <w:rFonts w:ascii="仿宋_GB2312" w:eastAsia="仿宋_GB2312" w:hint="eastAsia"/>
          <w:sz w:val="30"/>
          <w:szCs w:val="30"/>
        </w:rPr>
        <w:t>天津市河北区疾病预防控制中心2025年支出预算62,466,965.01元，与2024年预算相比减少66,447,474.75元，主要原因是人员、项目经费减少。其中：基本支出22,163,795.00元，占35.48%；项目支出40,303,170.01元，占64.52%；事业单位经营支出0.00元，占0.00%；上缴上级支出0.00元，占0.00%；对附属单位补助支出0.00元，占0.00%。</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四、关于财政拨款收支总体情况表</w:t>
      </w:r>
      <w:bookmarkEnd w:id="7"/>
      <w:r>
        <w:rPr>
          <w:rFonts w:ascii="黑体" w:eastAsia="黑体" w:hAnsi="黑体" w:hint="eastAsia"/>
          <w:b w:val="0"/>
          <w:sz w:val="30"/>
          <w:szCs w:val="30"/>
        </w:rPr>
        <w:t>的说明</w:t>
      </w:r>
    </w:p>
    <w:p w:rsidR="00BC499A">
      <w:pPr>
        <w:spacing w:line="600" w:lineRule="exact"/>
        <w:ind w:firstLine="600" w:firstLineChars="200"/>
        <w:rPr>
          <w:rFonts w:eastAsia="仿宋_GB2312"/>
          <w:sz w:val="30"/>
          <w:szCs w:val="30"/>
        </w:rPr>
      </w:pPr>
      <w:bookmarkStart w:id="8" w:name="_Toc78784575"/>
      <w:r>
        <w:rPr>
          <w:rFonts w:ascii="仿宋_GB2312" w:eastAsia="仿宋_GB2312" w:hint="eastAsia"/>
          <w:sz w:val="30"/>
          <w:szCs w:val="30"/>
        </w:rPr>
        <w:t>天津市河北区疾病预防控制中心2025年财政拨款收入预算62,466,965.01元，与2024年预算相比减少66,447,474.75元，主要原因是人员、项目经费减少。收入包括：一般公共预算拨款收入27,343,795.00元、政府性基金预算拨款收入0.00元、国有资本经营预算拨款收入0.00元、上年财政结转结余35,123,170.01元。2025年财政拨款支出预算62,466,965.01元，与2024年预算相比减少66,447,474.75元，主要原因是人员、项目经费减少。支出包括：社会保障和就业支出2,621,360.00元、卫生健康支出59,845,600.01元、其他支出5.00元。</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b w:val="0"/>
          <w:sz w:val="30"/>
          <w:szCs w:val="30"/>
        </w:rPr>
        <w:t>五</w:t>
      </w:r>
      <w:r>
        <w:rPr>
          <w:rFonts w:ascii="黑体" w:eastAsia="黑体" w:hAnsi="黑体" w:hint="eastAsia"/>
          <w:b w:val="0"/>
          <w:sz w:val="30"/>
          <w:szCs w:val="30"/>
        </w:rPr>
        <w:t>、关于</w:t>
      </w:r>
      <w:r>
        <w:rPr>
          <w:rFonts w:ascii="黑体" w:eastAsia="黑体" w:hAnsi="黑体"/>
          <w:b w:val="0"/>
          <w:sz w:val="30"/>
          <w:szCs w:val="30"/>
        </w:rPr>
        <w:t>一般公共预算支出</w:t>
      </w:r>
      <w:r>
        <w:rPr>
          <w:rFonts w:ascii="黑体" w:eastAsia="黑体" w:hAnsi="黑体" w:hint="eastAsia"/>
          <w:b w:val="0"/>
          <w:sz w:val="30"/>
          <w:szCs w:val="30"/>
        </w:rPr>
        <w:t>情况表</w:t>
      </w:r>
      <w:bookmarkEnd w:id="8"/>
      <w:r>
        <w:rPr>
          <w:rFonts w:ascii="黑体" w:eastAsia="黑体" w:hAnsi="黑体" w:hint="eastAsia"/>
          <w:b w:val="0"/>
          <w:sz w:val="30"/>
          <w:szCs w:val="30"/>
        </w:rPr>
        <w:t>的说明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（一）总体情况。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天津市河北区疾病预防控制中心2025年一般公共预算支出62,466,960.01元，与2024年预算相比减少66,447,474.75元，主要原因是基本支出、项目支出减少。</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（二）具体情况。</w:t>
      </w:r>
    </w:p>
    <w:p w:rsidR="00BC499A">
      <w:pPr>
        <w:spacing w:line="600" w:lineRule="exact"/>
        <w:ind w:firstLine="600" w:firstLineChars="200"/>
        <w:rPr>
          <w:rFonts w:eastAsia="仿宋_GB2312"/>
          <w:sz w:val="30"/>
          <w:szCs w:val="30"/>
        </w:rPr>
      </w:pPr>
      <w:r>
        <w:rPr>
          <w:rFonts w:ascii="仿宋_GB2312" w:eastAsia="仿宋_GB2312" w:hint="eastAsia"/>
          <w:sz w:val="30"/>
          <w:szCs w:val="30"/>
        </w:rPr>
        <w:t>1.“社会保障和就业支出（类）”2,621,360.00元，与2024年预算相比减少36,784.00元，主要原因是机关事业单位基本养老保险缴费支出和机关事业单位职业年金缴费支出经费减少。其中：</w:t>
        <w:br/>
        <w:t>　　“行政事业单位养老支出（款）”2,621,360.00元，包括：“事业单位离退休（项）”405,293.00元，主要用于事业单位开支的离退休经费。“机关事业单位基本养老保险缴费支出（项）”1,486,147.00元，主要用于机关事业单位实施养老保险制度由单位缴纳的基本养老保险费支出。“机关事业单位职业年金缴费支出（项）”729,920.00元，主要用于机关事业单位实施养老保险制度由单位实际缴纳的职业年金支出。</w:t>
        <w:br/>
        <w:t>　　2.“卫生健康支出（类）”59,845,600.01元，与2024年预算相比减少66,410,690.75元，主要原因是人员经费、公用经费、项目支出变动。其中：</w:t>
        <w:br/>
        <w:t>　　“公共卫生（款）”58,431,380.01元，包括：“疾病预防控制机构（项）”18,128,215.00元，主要用于反映卫生健康部门所属疾病预防控制机构的支出。“基本公共卫生服务（项）”1,254,481.00元，主要用于反映基本公共卫生服务支出。“重大公共卫生服务（项）”11,728,581.45元，主要用于反映重大疾病、重大传染病预防控制等重大公共卫生服务项目支出。“突发公共卫生事件应急处置（项）”27,320,102.56元，主要用于反映用于突发公共卫生事件应急处理的支出。</w:t>
        <w:br/>
        <w:t>　　“行政事业单位医疗（款）”1,414,220.00元，包括：“事业单位医疗（项）”958,020.00元，主要用于事业单位基本医疗保险缴费经费。“其他行政事业单位医疗支出（项）”456,200.00元，主要用于反映其他用于行政事业单位医疗方面的支出。</w:t>
      </w:r>
    </w:p>
    <w:p w:rsidR="00BC499A">
      <w:pPr>
        <w:spacing w:line="600" w:lineRule="exact"/>
        <w:rPr>
          <w:rFonts w:ascii="楷体" w:eastAsia="楷体" w:hAnsi="楷体" w:cs="仿宋_GB2312"/>
          <w:b/>
          <w:sz w:val="30"/>
          <w:szCs w:val="30"/>
        </w:rPr>
      </w:pPr>
    </w:p>
    <w:p w:rsidR="00BC499A">
      <w:pPr>
        <w:pStyle w:val="Heading2"/>
        <w:spacing w:line="600" w:lineRule="exact"/>
        <w:ind w:firstLine="600" w:firstLineChars="200"/>
        <w:rPr>
          <w:rFonts w:ascii="黑体" w:eastAsia="黑体" w:hAnsi="黑体"/>
          <w:b w:val="0"/>
          <w:sz w:val="30"/>
          <w:szCs w:val="30"/>
        </w:rPr>
      </w:pPr>
      <w:bookmarkStart w:id="9" w:name="_Toc78784576"/>
      <w:r>
        <w:rPr>
          <w:rFonts w:ascii="黑体" w:eastAsia="黑体" w:hAnsi="黑体"/>
          <w:b w:val="0"/>
          <w:sz w:val="30"/>
          <w:szCs w:val="30"/>
        </w:rPr>
        <w:t>六、</w:t>
      </w:r>
      <w:r>
        <w:rPr>
          <w:rFonts w:ascii="黑体" w:eastAsia="黑体" w:hAnsi="黑体" w:hint="eastAsia"/>
          <w:b w:val="0"/>
          <w:sz w:val="30"/>
          <w:szCs w:val="30"/>
        </w:rPr>
        <w:t>关于</w:t>
      </w:r>
      <w:r>
        <w:rPr>
          <w:rFonts w:ascii="黑体" w:eastAsia="黑体" w:hAnsi="黑体"/>
          <w:b w:val="0"/>
          <w:sz w:val="30"/>
          <w:szCs w:val="30"/>
        </w:rPr>
        <w:t>一般公共预算基本支出情况</w:t>
      </w:r>
      <w:bookmarkEnd w:id="9"/>
      <w:r>
        <w:rPr>
          <w:rFonts w:ascii="黑体" w:eastAsia="黑体" w:hAnsi="黑体" w:hint="eastAsia"/>
          <w:b w:val="0"/>
          <w:sz w:val="30"/>
          <w:szCs w:val="30"/>
        </w:rPr>
        <w:t>表的说明</w:t>
      </w:r>
    </w:p>
    <w:p w:rsidR="00BC499A">
      <w:pPr>
        <w:spacing w:line="600" w:lineRule="exact"/>
        <w:ind w:firstLine="600" w:firstLineChars="200"/>
        <w:rPr>
          <w:rFonts w:eastAsia="仿宋_GB2312"/>
          <w:sz w:val="30"/>
          <w:szCs w:val="30"/>
        </w:rPr>
      </w:pPr>
      <w:bookmarkStart w:id="10" w:name="_Toc78784577"/>
      <w:r>
        <w:rPr>
          <w:rFonts w:ascii="仿宋_GB2312" w:eastAsia="仿宋_GB2312" w:hint="eastAsia"/>
          <w:sz w:val="30"/>
          <w:szCs w:val="30"/>
        </w:rPr>
        <w:t>天津市河北区疾病预防控制中心一般公共预算基本支出22,163,795.00元，与2024年预算相比减少454,008.00元，主要原因是人员经费、公用经费变动。其中：</w:t>
        <w:br/>
        <w:t>　　人员经费20,324,536.00元，主要包括：基本工资、津贴补贴、绩效工资、机关事业单位基本养老保险缴费、职业年金缴费、职工基本医疗保险缴费、其他社会保障缴费、住房公积金、医疗费、其他工资福利支出、退休费、生活补助、奖励金。</w:t>
        <w:br/>
        <w:t>　　公用经费1,839,259.00元，主要包括：办公费、水费、电费、邮电费、差旅费、维修(护)费、培训费、工会经费、福利费、其他商品和服务支出。</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七、关于一般公共预算“三公”经费支出情况表的说明</w:t>
      </w:r>
    </w:p>
    <w:p w:rsidR="00BC499A">
      <w:pPr>
        <w:spacing w:line="600" w:lineRule="exact"/>
        <w:ind w:firstLine="600" w:firstLineChars="200"/>
        <w:rPr>
          <w:rFonts w:eastAsia="仿宋_GB2312"/>
          <w:sz w:val="30"/>
          <w:szCs w:val="30"/>
        </w:rPr>
      </w:pPr>
      <w:r>
        <w:rPr>
          <w:rFonts w:ascii="仿宋_GB2312" w:eastAsia="仿宋_GB2312" w:hint="eastAsia"/>
          <w:sz w:val="30"/>
          <w:szCs w:val="30"/>
        </w:rPr>
        <w:t>2025年一般公共预算“三公”经费安排0.00元，与2024年预算相比增加（减少）0.00元，主要原因是本部门一般公共预算未安排“三公”经费。具体情况：</w:t>
        <w:br/>
        <w:t>　　一、2025年因公出国（境）费预算0.00元，与2024年预算相比增加（减少）0.00元，主要原因是本部门一般公共预算未安排“因公出国（境）”费。</w:t>
        <w:br/>
        <w:t>　　二、2025年公务用车购置及运行费预算0.00元，其中公务用车运行费0.00元，与2024年预算相比增加（减少）0.00元，主要原因是本部门一般公共预算未安排“公务用车运行”费；公务用车购置费0.00元，与2024年预算相比增加（减少）0.00元，主要原因是本部门一般公共预算未安排“公务用车购置”费。</w:t>
        <w:br/>
        <w:t>　　三、2025年公务接待费预算0.00元，与2024年预算相比增加（减少）0.00元，主要原因是本部门一般公共预算未安排“公务接待”费。</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八</w:t>
      </w:r>
      <w:r>
        <w:rPr>
          <w:rFonts w:ascii="黑体" w:eastAsia="黑体" w:hAnsi="黑体"/>
          <w:b w:val="0"/>
          <w:sz w:val="30"/>
          <w:szCs w:val="30"/>
        </w:rPr>
        <w:t>、</w:t>
      </w:r>
      <w:r>
        <w:rPr>
          <w:rFonts w:ascii="黑体" w:eastAsia="黑体" w:hAnsi="黑体" w:hint="eastAsia"/>
          <w:b w:val="0"/>
          <w:sz w:val="30"/>
          <w:szCs w:val="30"/>
        </w:rPr>
        <w:t>关于</w:t>
      </w:r>
      <w:r>
        <w:rPr>
          <w:rFonts w:ascii="黑体" w:eastAsia="黑体" w:hAnsi="黑体"/>
          <w:b w:val="0"/>
          <w:sz w:val="30"/>
          <w:szCs w:val="30"/>
        </w:rPr>
        <w:t>政府性基金预算</w:t>
      </w:r>
      <w:r>
        <w:rPr>
          <w:rFonts w:ascii="黑体" w:eastAsia="黑体" w:hAnsi="黑体" w:hint="eastAsia"/>
          <w:b w:val="0"/>
          <w:sz w:val="30"/>
          <w:szCs w:val="30"/>
        </w:rPr>
        <w:t>支出</w:t>
      </w:r>
      <w:r>
        <w:rPr>
          <w:rFonts w:ascii="黑体" w:eastAsia="黑体" w:hAnsi="黑体"/>
          <w:b w:val="0"/>
          <w:sz w:val="30"/>
          <w:szCs w:val="30"/>
        </w:rPr>
        <w:t>情况</w:t>
      </w:r>
      <w:bookmarkEnd w:id="10"/>
      <w:r>
        <w:rPr>
          <w:rFonts w:ascii="黑体" w:eastAsia="黑体" w:hAnsi="黑体" w:hint="eastAsia"/>
          <w:b w:val="0"/>
          <w:sz w:val="30"/>
          <w:szCs w:val="30"/>
        </w:rPr>
        <w:t>表的说明</w:t>
      </w:r>
    </w:p>
    <w:p w:rsidR="00BC499A" w:rsidP="00375EBB">
      <w:pPr>
        <w:spacing w:line="600" w:lineRule="exact"/>
        <w:ind w:firstLine="600" w:firstLineChars="200"/>
        <w:rPr>
          <w:rFonts w:eastAsia="仿宋_GB2312"/>
          <w:sz w:val="30"/>
          <w:szCs w:val="30"/>
        </w:rPr>
      </w:pPr>
      <w:bookmarkStart w:id="11" w:name="_Toc78784578"/>
      <w:r w:rsidRPr="00375EBB">
        <w:rPr>
          <w:rFonts w:ascii="仿宋_GB2312" w:eastAsia="仿宋_GB2312" w:hint="eastAsia"/>
          <w:b/>
          <w:sz w:val="30"/>
          <w:szCs w:val="30"/>
        </w:rPr>
        <w:t>（一）总体情况。</w:t>
      </w:r>
      <w:r>
        <w:rPr>
          <w:rFonts w:ascii="仿宋_GB2312" w:eastAsia="仿宋_GB2312" w:hint="eastAsia"/>
          <w:sz w:val="30"/>
          <w:szCs w:val="30"/>
        </w:rPr>
        <w:br/>
        <w:t>　　天津市河北区疾病预防控制中心政府性基金预算支出5.00元，与2024年预算相比增加（减少）0.00元，主要原因是与上年持平。</w:t>
      </w:r>
      <w:r w:rsidRPr="00375EBB">
        <w:rPr>
          <w:rFonts w:ascii="仿宋_GB2312" w:eastAsia="仿宋_GB2312" w:hint="eastAsia"/>
          <w:b/>
          <w:sz w:val="30"/>
          <w:szCs w:val="30"/>
        </w:rPr>
        <w:br/>
        <w:t>　　（二）具体情况。</w:t>
      </w:r>
      <w:r>
        <w:rPr>
          <w:rFonts w:ascii="仿宋_GB2312" w:eastAsia="仿宋_GB2312" w:hint="eastAsia"/>
          <w:sz w:val="30"/>
          <w:szCs w:val="30"/>
        </w:rPr>
        <w:br/>
        <w:t>　　1.“其他支出（类）”5.00元，与2024年预算相比增加（减少）0.00元，主要原因是政府性基金用于爱国卫生控烟宣传工作，工作已完成，无支出变动。其中：</w:t>
        <w:br/>
        <w:t>　　“彩票公益金安排的支出（款）”5.00元，包括：“用于其他社会公益事业的彩票公益金支出（项）”5.00元，主要用于爱国卫生控烟宣传工作。</w:t>
      </w:r>
    </w:p>
    <w:p w:rsidR="00BC499A">
      <w:pPr>
        <w:pStyle w:val="Heading2"/>
        <w:spacing w:line="600" w:lineRule="exact"/>
        <w:ind w:firstLine="600" w:firstLineChars="200"/>
        <w:rPr>
          <w:rFonts w:ascii="黑体" w:eastAsia="黑体" w:hAnsi="黑体"/>
          <w:b w:val="0"/>
          <w:sz w:val="30"/>
          <w:szCs w:val="30"/>
        </w:rPr>
      </w:pPr>
      <w:r>
        <w:rPr>
          <w:rFonts w:ascii="黑体" w:eastAsia="黑体" w:hAnsi="黑体" w:hint="eastAsia"/>
          <w:b w:val="0"/>
          <w:sz w:val="30"/>
          <w:szCs w:val="30"/>
        </w:rPr>
        <w:t>九、关于国有资本经营预算支出情况表</w:t>
      </w:r>
      <w:bookmarkEnd w:id="11"/>
      <w:r>
        <w:rPr>
          <w:rFonts w:ascii="黑体" w:eastAsia="黑体" w:hAnsi="黑体" w:hint="eastAsia"/>
          <w:b w:val="0"/>
          <w:sz w:val="30"/>
          <w:szCs w:val="30"/>
        </w:rPr>
        <w:t>的说明</w:t>
      </w:r>
    </w:p>
    <w:p w:rsidR="00BC499A" w:rsidP="00610A8C">
      <w:pPr>
        <w:spacing w:line="600" w:lineRule="exact"/>
        <w:ind w:firstLine="600" w:firstLineChars="200"/>
      </w:pPr>
      <w:r w:rsidRPr="00610A8C">
        <w:rPr>
          <w:rFonts w:ascii="仿宋_GB2312" w:eastAsia="仿宋_GB2312" w:hint="eastAsia"/>
          <w:b/>
          <w:sz w:val="30"/>
          <w:szCs w:val="30"/>
        </w:rPr>
        <w:t xml:space="preserve"> </w:t>
      </w:r>
      <w:r>
        <w:rPr>
          <w:rFonts w:ascii="仿宋_GB2312" w:eastAsia="仿宋_GB2312" w:hint="eastAsia"/>
          <w:sz w:val="30"/>
          <w:szCs w:val="30"/>
        </w:rPr>
        <w:t>2025年天津市河北区疾病预防控制中心预算中没有使用国有资本经营预算安排的支出。</w:t>
      </w:r>
      <w:r w:rsidRPr="00610A8C">
        <w:rPr>
          <w:rFonts w:ascii="仿宋_GB2312" w:eastAsia="仿宋_GB2312" w:hint="eastAsia"/>
          <w:b/>
          <w:sz w:val="30"/>
          <w:szCs w:val="30"/>
        </w:rPr>
        <w:t xml:space="preserve"> </w:t>
      </w:r>
      <w:r>
        <w:rPr>
          <w:rFonts w:ascii="仿宋_GB2312" w:eastAsia="仿宋_GB2312" w:hint="eastAsia"/>
          <w:sz w:val="30"/>
          <w:szCs w:val="30"/>
        </w:rPr>
        <w:t xml:space="preserve"> </w:t>
      </w:r>
    </w:p>
    <w:p w:rsidR="00BC499A">
      <w:pPr>
        <w:pStyle w:val="Heading2"/>
        <w:spacing w:line="600" w:lineRule="exact"/>
        <w:ind w:firstLine="600" w:firstLineChars="200"/>
        <w:rPr>
          <w:rFonts w:ascii="黑体" w:eastAsia="黑体" w:hAnsi="黑体"/>
          <w:b w:val="0"/>
          <w:sz w:val="30"/>
          <w:szCs w:val="30"/>
        </w:rPr>
      </w:pPr>
      <w:bookmarkStart w:id="12" w:name="_Toc78784579"/>
      <w:r>
        <w:rPr>
          <w:rFonts w:ascii="黑体" w:eastAsia="黑体" w:hAnsi="黑体" w:hint="eastAsia"/>
          <w:b w:val="0"/>
          <w:sz w:val="30"/>
          <w:szCs w:val="30"/>
        </w:rPr>
        <w:t>十、其他重要事项的情况说明</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（一）</w:t>
      </w:r>
      <w:r>
        <w:rPr>
          <w:rFonts w:ascii="楷体" w:eastAsia="楷体" w:hAnsi="楷体" w:cs="仿宋_GB2312"/>
          <w:b/>
          <w:sz w:val="30"/>
          <w:szCs w:val="30"/>
        </w:rPr>
        <w:t>机关运行经费</w:t>
      </w:r>
      <w:bookmarkEnd w:id="12"/>
      <w:r>
        <w:rPr>
          <w:rFonts w:ascii="楷体" w:eastAsia="楷体" w:hAnsi="楷体" w:cs="仿宋_GB2312" w:hint="eastAsia"/>
          <w:b/>
          <w:sz w:val="30"/>
          <w:szCs w:val="30"/>
        </w:rPr>
        <w:t>。</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天津市河北区疾病预防控制中心2025年未安排机关运行经费预算。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（二）政府采购情况。</w:t>
      </w:r>
    </w:p>
    <w:p w:rsidR="00BC499A">
      <w:pPr>
        <w:spacing w:line="580" w:lineRule="exact"/>
        <w:ind w:firstLine="600" w:firstLineChars="200"/>
        <w:rPr>
          <w:rFonts w:eastAsia="楷体_GB2312"/>
          <w:sz w:val="30"/>
          <w:szCs w:val="30"/>
        </w:rPr>
      </w:pPr>
      <w:r>
        <w:rPr>
          <w:rFonts w:ascii="仿宋_GB2312" w:eastAsia="仿宋_GB2312" w:hAnsi="仿宋_GB2312" w:cs="仿宋_GB2312" w:hint="eastAsia"/>
          <w:sz w:val="30"/>
          <w:szCs w:val="30"/>
        </w:rPr>
        <w:t>本部门2025年安排政府采购预算2,557,570.00元，其中：政府采购货物支出580,570.00元、政府采购服务支出1,977,000.00元、政府采购工程支出0元。主要项目是：办公设备购置6,450.00 元，办公用品购置17,120.00 元，购买服务相关项目1,977,000.00 元，专用材料557,000.00元。</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（三）国有资产占用情况。</w:t>
      </w:r>
    </w:p>
    <w:p w:rsidR="00BC499A">
      <w:pPr>
        <w:spacing w:line="580" w:lineRule="exact"/>
        <w:ind w:firstLine="600" w:firstLineChars="200"/>
        <w:jc w:val="both"/>
        <w:rPr>
          <w:rFonts w:eastAsia="仿宋_GB2312"/>
          <w:sz w:val="30"/>
          <w:szCs w:val="30"/>
        </w:rPr>
      </w:pPr>
      <w:r>
        <w:rPr>
          <w:rFonts w:ascii="仿宋_GB2312" w:eastAsia="仿宋_GB2312" w:hAnsi="仿宋_GB2312" w:cs="仿宋_GB2312" w:hint="eastAsia"/>
          <w:color w:val="000000"/>
          <w:sz w:val="30"/>
          <w:szCs w:val="30"/>
        </w:rPr>
        <w:t>截至2024年7月底，本部门各单位共有车辆8辆，其中：副部（省）级及以上领导用车0辆、主要负责人干部用车0辆、机要通信用车0辆、应急保障用车0辆、执法执勤用车0辆、特种专业技术用车0辆、离退休干部服务用车0辆、其他用车8辆，其他用车主要包括业务用车。单价（账面原值）100万元以上的设备5台（套）。</w:t>
      </w:r>
    </w:p>
    <w:p w:rsidR="00BC499A">
      <w:pPr>
        <w:spacing w:line="600" w:lineRule="exact"/>
        <w:ind w:left="480" w:leftChars="200"/>
        <w:rPr>
          <w:rFonts w:ascii="楷体" w:eastAsia="楷体" w:hAnsi="楷体" w:cs="仿宋_GB2312"/>
          <w:b/>
          <w:sz w:val="30"/>
          <w:szCs w:val="30"/>
        </w:rPr>
      </w:pPr>
      <w:r>
        <w:rPr>
          <w:rFonts w:ascii="楷体" w:eastAsia="楷体" w:hAnsi="楷体" w:cs="仿宋_GB2312" w:hint="eastAsia"/>
          <w:b/>
          <w:sz w:val="30"/>
          <w:szCs w:val="30"/>
        </w:rPr>
        <w:t>（四）预算绩效情况说明。</w:t>
      </w:r>
    </w:p>
    <w:p w:rsidR="00BC499A">
      <w:pPr>
        <w:spacing w:line="580" w:lineRule="exact"/>
        <w:ind w:firstLine="600" w:firstLineChars="200"/>
        <w:jc w:val="both"/>
        <w:rPr>
          <w:rFonts w:ascii="仿宋_GB2312" w:eastAsia="仿宋_GB2312" w:hAnsi="仿宋_GB2312" w:cs="仿宋_GB2312"/>
          <w:sz w:val="30"/>
          <w:szCs w:val="30"/>
        </w:rPr>
        <w:sectPr>
          <w:pgSz w:w="11907" w:h="16840"/>
          <w:pgMar w:top="2098" w:right="1474" w:bottom="1304" w:left="1588" w:header="765" w:footer="765" w:gutter="0"/>
          <w:pgNumType w:fmt="numberInDash" w:start="1"/>
          <w:cols w:space="720"/>
          <w:docGrid w:linePitch="326"/>
        </w:sectPr>
      </w:pPr>
      <w:r>
        <w:rPr>
          <w:rFonts w:ascii="仿宋_GB2312" w:eastAsia="仿宋_GB2312" w:hAnsi="仿宋_GB2312" w:cs="仿宋_GB2312" w:hint="eastAsia"/>
          <w:sz w:val="30"/>
          <w:szCs w:val="30"/>
        </w:rPr>
        <w:t>本部门2025年实行绩效目标管理的项目65个，涉及预算金额40,303,170.01元。</w:t>
      </w:r>
    </w:p>
    <w:p w:rsidR="00BC499A">
      <w:pPr>
        <w:spacing w:line="580" w:lineRule="exact"/>
        <w:jc w:val="both"/>
        <w:rPr>
          <w:rFonts w:ascii="仿宋_GB2312" w:eastAsia="仿宋_GB2312" w:hAnsi="仿宋_GB2312" w:cs="仿宋_GB2312"/>
          <w:sz w:val="30"/>
          <w:szCs w:val="30"/>
        </w:rPr>
      </w:pPr>
    </w:p>
    <w:p w:rsidR="00BC499A">
      <w:pPr>
        <w:pStyle w:val="Heading1"/>
        <w:spacing w:line="600" w:lineRule="exact"/>
        <w:jc w:val="center"/>
        <w:rPr>
          <w:rFonts w:ascii="黑体" w:eastAsia="黑体" w:hAnsi="黑体" w:cs="黑体"/>
        </w:rPr>
      </w:pPr>
      <w:bookmarkStart w:id="13" w:name="_Toc78784585"/>
      <w:r>
        <w:rPr>
          <w:rFonts w:ascii="黑体" w:eastAsia="黑体" w:hAnsi="黑体" w:cs="黑体" w:hint="eastAsia"/>
        </w:rPr>
        <w:t>第三部分  名词解释</w:t>
      </w:r>
      <w:bookmarkEnd w:id="13"/>
    </w:p>
    <w:p w:rsidR="00BC499A">
      <w:pPr>
        <w:spacing w:line="600" w:lineRule="exact"/>
        <w:ind w:firstLine="600" w:firstLineChars="200"/>
        <w:rPr>
          <w:rFonts w:ascii="仿宋_GB2312" w:eastAsia="仿宋_GB2312"/>
          <w:sz w:val="30"/>
          <w:szCs w:val="30"/>
        </w:rPr>
      </w:pPr>
    </w:p>
    <w:p w:rsidR="00BC499A">
      <w:pPr>
        <w:spacing w:line="580" w:lineRule="exact"/>
        <w:ind w:firstLine="600" w:firstLineChars="200"/>
        <w:rPr>
          <w:rFonts w:eastAsia="仿宋_GB2312"/>
          <w:sz w:val="30"/>
          <w:szCs w:val="30"/>
        </w:rPr>
      </w:pPr>
      <w:r>
        <w:rPr>
          <w:rFonts w:eastAsia="仿宋_GB2312"/>
          <w:sz w:val="30"/>
          <w:szCs w:val="30"/>
        </w:rPr>
        <w:t>1.</w:t>
      </w:r>
      <w:r>
        <w:rPr>
          <w:rFonts w:eastAsia="仿宋_GB2312" w:hint="eastAsia"/>
          <w:sz w:val="30"/>
          <w:szCs w:val="30"/>
        </w:rPr>
        <w:t>部门预算。是指主管预算部门依据相关法律、法规和政策规定及其行使职能需要，组织所属预算单位编制并逐级上报、审核、汇总，经财政部门审核后按程序依法批准的部门综合收支计划。</w:t>
      </w:r>
    </w:p>
    <w:p w:rsidR="00BC499A">
      <w:pPr>
        <w:spacing w:line="580" w:lineRule="exact"/>
        <w:ind w:firstLine="600" w:firstLineChars="200"/>
        <w:rPr>
          <w:rFonts w:eastAsia="仿宋_GB2312"/>
          <w:sz w:val="30"/>
          <w:szCs w:val="30"/>
        </w:rPr>
      </w:pPr>
      <w:r>
        <w:rPr>
          <w:rFonts w:eastAsia="仿宋_GB2312" w:hint="eastAsia"/>
          <w:sz w:val="30"/>
          <w:szCs w:val="30"/>
        </w:rPr>
        <w:t>2.</w:t>
      </w:r>
      <w:r>
        <w:rPr>
          <w:rFonts w:eastAsia="仿宋_GB2312"/>
          <w:sz w:val="30"/>
          <w:szCs w:val="30"/>
        </w:rPr>
        <w:t xml:space="preserve"> </w:t>
      </w:r>
      <w:r>
        <w:rPr>
          <w:rFonts w:eastAsia="仿宋_GB2312"/>
          <w:sz w:val="30"/>
          <w:szCs w:val="30"/>
        </w:rPr>
        <w:t>机关运行经费</w:t>
      </w:r>
      <w:r>
        <w:rPr>
          <w:rFonts w:eastAsia="仿宋_GB2312" w:hint="eastAsia"/>
          <w:sz w:val="30"/>
          <w:szCs w:val="30"/>
        </w:rPr>
        <w:t>。</w:t>
      </w:r>
      <w:r>
        <w:rPr>
          <w:rFonts w:eastAsia="仿宋_GB2312"/>
          <w:sz w:val="30"/>
          <w:szCs w:val="30"/>
        </w:rPr>
        <w:t>是指各部门的公用经费，包括办公及印刷费、邮电费、差旅费、会议费、福利费、日常维修费、专用材料及一般设备购置费、办公用房水电费、办公用房取暖费、办公用房物业管理费、公务用车运行维护费以及其他费用</w:t>
      </w:r>
      <w:r>
        <w:rPr>
          <w:rFonts w:eastAsia="仿宋_GB2312" w:hint="eastAsia"/>
          <w:sz w:val="30"/>
          <w:szCs w:val="30"/>
        </w:rPr>
        <w:t>。</w:t>
      </w:r>
    </w:p>
    <w:p w:rsidR="00BC499A">
      <w:pPr>
        <w:spacing w:line="580" w:lineRule="exact"/>
        <w:ind w:firstLine="600" w:firstLineChars="200"/>
        <w:rPr>
          <w:rFonts w:eastAsia="楷体_GB2312"/>
          <w:sz w:val="30"/>
          <w:szCs w:val="30"/>
        </w:rPr>
      </w:pPr>
      <w:r>
        <w:rPr>
          <w:rFonts w:eastAsia="楷体_GB2312" w:hint="eastAsia"/>
          <w:sz w:val="30"/>
          <w:szCs w:val="30"/>
        </w:rPr>
        <w:t>（“部门预算”和“机关运行经费”作为专业性名词各单位必须公开。除此之外，</w:t>
      </w:r>
      <w:r>
        <w:rPr>
          <w:rFonts w:eastAsia="楷体_GB2312"/>
          <w:sz w:val="30"/>
          <w:szCs w:val="30"/>
        </w:rPr>
        <w:t>各单位可</w:t>
      </w:r>
      <w:r>
        <w:rPr>
          <w:rFonts w:eastAsia="楷体_GB2312" w:hint="eastAsia"/>
          <w:sz w:val="30"/>
          <w:szCs w:val="30"/>
        </w:rPr>
        <w:t>根据需要对说明中其他专业性较强名词</w:t>
      </w:r>
      <w:r>
        <w:rPr>
          <w:rFonts w:eastAsia="楷体_GB2312"/>
          <w:sz w:val="30"/>
          <w:szCs w:val="30"/>
        </w:rPr>
        <w:t>进行解释</w:t>
      </w:r>
      <w:r>
        <w:rPr>
          <w:rFonts w:eastAsia="楷体_GB2312" w:hint="eastAsia"/>
          <w:sz w:val="30"/>
          <w:szCs w:val="30"/>
        </w:rPr>
        <w:t>。</w:t>
      </w:r>
      <w:r>
        <w:rPr>
          <w:rFonts w:eastAsia="楷体_GB2312"/>
          <w:sz w:val="30"/>
          <w:szCs w:val="30"/>
        </w:rPr>
        <w:t>）</w:t>
      </w: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spacing w:line="580" w:lineRule="exact"/>
        <w:ind w:firstLine="600" w:firstLineChars="200"/>
        <w:rPr>
          <w:rFonts w:eastAsia="楷体_GB2312"/>
          <w:sz w:val="30"/>
          <w:szCs w:val="30"/>
        </w:rPr>
      </w:pPr>
    </w:p>
    <w:p w:rsidR="00BC499A">
      <w:pPr>
        <w:pStyle w:val="Heading1"/>
        <w:spacing w:line="600" w:lineRule="exact"/>
        <w:jc w:val="center"/>
        <w:rPr>
          <w:rFonts w:ascii="黑体" w:eastAsia="黑体" w:hAnsi="黑体" w:cs="黑体"/>
        </w:rPr>
      </w:pPr>
      <w:r>
        <w:rPr>
          <w:rFonts w:ascii="黑体" w:eastAsia="黑体" w:hAnsi="黑体" w:cs="黑体" w:hint="eastAsia"/>
        </w:rPr>
        <w:t xml:space="preserve">第四部分  </w:t>
      </w:r>
      <w:r w:rsidR="00230EE4">
        <w:rPr>
          <w:rFonts w:ascii="黑体" w:eastAsia="黑体" w:hAnsi="黑体" w:cs="黑体" w:hint="eastAsia"/>
        </w:rPr>
        <w:t>2025</w:t>
      </w:r>
      <w:r>
        <w:rPr>
          <w:rFonts w:ascii="黑体" w:eastAsia="黑体" w:hAnsi="黑体" w:cs="黑体" w:hint="eastAsia"/>
        </w:rPr>
        <w:t>年部门预算表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一、《部门收支总体情况表》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二、《部门收入总体情况表》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三、《部门支出总体情况表》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四、《财政拨款收支总体情况表》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五、《一般公共预算支出情况表》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六、《一般公共预算基本支出情况表》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七、</w:t>
      </w:r>
      <w:bookmarkStart w:id="14" w:name="_GoBack"/>
      <w:bookmarkEnd w:id="14"/>
      <w:r>
        <w:rPr>
          <w:rFonts w:ascii="楷体_GB2312" w:eastAsia="楷体_GB2312" w:hint="eastAsia"/>
          <w:b/>
          <w:sz w:val="30"/>
          <w:szCs w:val="30"/>
        </w:rPr>
        <w:t>《一般公共预算“三公”经费支出情况表》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八、《政府性基金预算支出情况表》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九、《国有资本经营预算支出情况表》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十、《项目支出表》</w:t>
      </w:r>
    </w:p>
    <w:p w:rsidR="00BC499A">
      <w:pPr>
        <w:spacing w:line="560" w:lineRule="exact"/>
        <w:ind w:left="480" w:leftChars="200"/>
        <w:rPr>
          <w:rFonts w:ascii="楷体_GB2312" w:eastAsia="楷体_GB2312"/>
          <w:b/>
          <w:sz w:val="30"/>
          <w:szCs w:val="30"/>
        </w:rPr>
      </w:pPr>
      <w:r>
        <w:rPr>
          <w:rFonts w:ascii="楷体_GB2312" w:eastAsia="楷体_GB2312" w:hint="eastAsia"/>
          <w:b/>
          <w:sz w:val="30"/>
          <w:szCs w:val="30"/>
        </w:rPr>
        <w:t>十一、关于空表的说明</w:t>
      </w:r>
      <w:r>
        <w:rPr>
          <w:rFonts w:ascii="楷体_GB2312" w:eastAsia="楷体_GB2312" w:hint="eastAsia"/>
          <w:b/>
          <w:sz w:val="30"/>
          <w:szCs w:val="30"/>
        </w:rPr>
        <w:tab/>
      </w:r>
    </w:p>
    <w:p w:rsidR="00BC499A">
      <w:pPr>
        <w:spacing w:line="560" w:lineRule="exact"/>
        <w:ind w:firstLine="600" w:firstLineChars="200"/>
        <w:rPr>
          <w:rFonts w:ascii="仿宋_GB2312" w:eastAsia="仿宋_GB2312" w:hAnsi="仿宋_GB2312" w:cs="仿宋_GB2312"/>
          <w:sz w:val="30"/>
          <w:szCs w:val="30"/>
        </w:rPr>
      </w:pPr>
      <w:r>
        <w:rPr>
          <w:rFonts w:ascii="仿宋_GB2312" w:eastAsia="仿宋_GB2312" w:hAnsi="仿宋_GB2312" w:cs="仿宋_GB2312" w:hint="eastAsia"/>
          <w:sz w:val="30"/>
          <w:szCs w:val="30"/>
        </w:rPr>
        <w:t>1.“本部门2025年一般公共预算“三公”经费支出情况表为空表”。</w:t>
        <w:br/>
        <w:t>　　2.“本部门2025年国有资本经营预算支出情况表为空表”。</w:t>
      </w:r>
    </w:p>
    <w:p w:rsidR="00BC499A">
      <w:pPr>
        <w:spacing w:line="560" w:lineRule="exact"/>
        <w:rPr>
          <w:rFonts w:eastAsia="楷体"/>
          <w:sz w:val="30"/>
          <w:szCs w:val="30"/>
        </w:rPr>
      </w:pPr>
    </w:p>
    <w:p w:rsidR="00BC499A">
      <w:pPr>
        <w:spacing w:line="560" w:lineRule="exact"/>
        <w:ind w:firstLine="600" w:firstLineChars="200"/>
        <w:rPr>
          <w:rFonts w:eastAsia="楷体_GB2312"/>
          <w:sz w:val="30"/>
          <w:szCs w:val="30"/>
        </w:rPr>
      </w:pPr>
      <w:r>
        <w:rPr>
          <w:rFonts w:eastAsia="楷体" w:hint="eastAsia"/>
          <w:sz w:val="30"/>
          <w:szCs w:val="30"/>
        </w:rPr>
        <w:t>注：以上预算公开表均作为附表，附于预算公开说明文档后。</w:t>
      </w:r>
    </w:p>
    <w:sectPr w:rsidSect="00BC499A">
      <w:pgSz w:w="11907" w:h="16840"/>
      <w:pgMar w:top="2098" w:right="1474" w:bottom="1304" w:left="1588" w:header="765" w:footer="765" w:gutter="0"/>
      <w:pgNumType w:fmt="numberInDash" w:start="1"/>
      <w:cols w:space="720"/>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framePr w:wrap="around" w:vAnchor="text" w:hAnchor="margin" w:xAlign="outside" w:y="1"/>
      <w:rPr>
        <w:rStyle w:val="PageNumber"/>
      </w:rPr>
    </w:pPr>
    <w:r>
      <w:fldChar w:fldCharType="begin"/>
    </w:r>
    <w:r w:rsidR="00296995">
      <w:rPr>
        <w:rStyle w:val="PageNumber"/>
      </w:rPr>
      <w:instrText xml:space="preserve">PAGE  </w:instrText>
    </w:r>
    <w:r>
      <w:fldChar w:fldCharType="separate"/>
    </w:r>
    <w:r>
      <w:fldChar w:fldCharType="end"/>
    </w:r>
  </w:p>
  <w:p w:rsidR="00BC499A">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ind w:right="360"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Footer"/>
      <w:jc w:val="center"/>
    </w:pPr>
    <w:r>
      <w:fldChar w:fldCharType="begin"/>
    </w:r>
    <w:r w:rsidR="00296995">
      <w:instrText>PAGE   \* MERGEFORMAT</w:instrText>
    </w:r>
    <w:r>
      <w:fldChar w:fldCharType="separate"/>
    </w:r>
    <w:r w:rsidRPr="002E7B1F" w:rsidR="002E7B1F">
      <w:rPr>
        <w:noProof/>
        <w:lang w:val="zh-CN"/>
      </w:rPr>
      <w:t>-</w:t>
    </w:r>
    <w:r w:rsidR="002E7B1F">
      <w:rPr>
        <w:noProof/>
      </w:rPr>
      <w:t xml:space="preserve"> 1 -</w:t>
    </w:r>
    <w:r>
      <w:fldChar w:fldCharType="end"/>
    </w:r>
  </w:p>
  <w:p w:rsidR="00BC499A">
    <w:pPr>
      <w:pStyle w:val="Footer"/>
      <w:ind w:right="360" w:firstLine="360"/>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499A">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937D77"/>
    <w:rsid w:val="DEFFAB64"/>
    <w:rsid w:val="F51C3534"/>
    <w:rsid w:val="0001204D"/>
    <w:rsid w:val="00014B7E"/>
    <w:rsid w:val="00020DAE"/>
    <w:rsid w:val="00025DCF"/>
    <w:rsid w:val="00026B49"/>
    <w:rsid w:val="000279BC"/>
    <w:rsid w:val="00035889"/>
    <w:rsid w:val="0003736F"/>
    <w:rsid w:val="00040A70"/>
    <w:rsid w:val="00043357"/>
    <w:rsid w:val="000546FB"/>
    <w:rsid w:val="00055156"/>
    <w:rsid w:val="000561F0"/>
    <w:rsid w:val="00066DA5"/>
    <w:rsid w:val="00081133"/>
    <w:rsid w:val="00082771"/>
    <w:rsid w:val="00093F1A"/>
    <w:rsid w:val="00097C4D"/>
    <w:rsid w:val="000A4C45"/>
    <w:rsid w:val="000A6A5A"/>
    <w:rsid w:val="000B1B04"/>
    <w:rsid w:val="000B5758"/>
    <w:rsid w:val="000C211F"/>
    <w:rsid w:val="000C3FFB"/>
    <w:rsid w:val="000C5349"/>
    <w:rsid w:val="000C704F"/>
    <w:rsid w:val="000D1BEF"/>
    <w:rsid w:val="000E221E"/>
    <w:rsid w:val="000E5A14"/>
    <w:rsid w:val="000F2DDD"/>
    <w:rsid w:val="00103D12"/>
    <w:rsid w:val="001044EF"/>
    <w:rsid w:val="00107793"/>
    <w:rsid w:val="00107F74"/>
    <w:rsid w:val="00141FB3"/>
    <w:rsid w:val="00143640"/>
    <w:rsid w:val="00146622"/>
    <w:rsid w:val="00151DB8"/>
    <w:rsid w:val="00151E56"/>
    <w:rsid w:val="00154D50"/>
    <w:rsid w:val="001574DB"/>
    <w:rsid w:val="001616F8"/>
    <w:rsid w:val="001639E6"/>
    <w:rsid w:val="0016548E"/>
    <w:rsid w:val="00167781"/>
    <w:rsid w:val="0017420B"/>
    <w:rsid w:val="001743A6"/>
    <w:rsid w:val="0019552B"/>
    <w:rsid w:val="001A1316"/>
    <w:rsid w:val="001A58F7"/>
    <w:rsid w:val="001B47FB"/>
    <w:rsid w:val="001C525C"/>
    <w:rsid w:val="001E4814"/>
    <w:rsid w:val="001F43D8"/>
    <w:rsid w:val="001F69BB"/>
    <w:rsid w:val="0020344E"/>
    <w:rsid w:val="00217977"/>
    <w:rsid w:val="00222775"/>
    <w:rsid w:val="00223D56"/>
    <w:rsid w:val="00225E9E"/>
    <w:rsid w:val="00230EE4"/>
    <w:rsid w:val="002319C9"/>
    <w:rsid w:val="00235DDA"/>
    <w:rsid w:val="002456BF"/>
    <w:rsid w:val="00252DD7"/>
    <w:rsid w:val="002568D5"/>
    <w:rsid w:val="0026664B"/>
    <w:rsid w:val="00290082"/>
    <w:rsid w:val="00290EAC"/>
    <w:rsid w:val="00293ACA"/>
    <w:rsid w:val="00296995"/>
    <w:rsid w:val="002A1782"/>
    <w:rsid w:val="002A23DC"/>
    <w:rsid w:val="002A3DBF"/>
    <w:rsid w:val="002B7B88"/>
    <w:rsid w:val="002D67AE"/>
    <w:rsid w:val="002D715E"/>
    <w:rsid w:val="002E3C02"/>
    <w:rsid w:val="002E7B1F"/>
    <w:rsid w:val="002F0601"/>
    <w:rsid w:val="002F0F40"/>
    <w:rsid w:val="002F0F49"/>
    <w:rsid w:val="00304097"/>
    <w:rsid w:val="003147A8"/>
    <w:rsid w:val="0032641E"/>
    <w:rsid w:val="003407F4"/>
    <w:rsid w:val="00343F3E"/>
    <w:rsid w:val="0035053A"/>
    <w:rsid w:val="0035182A"/>
    <w:rsid w:val="003609DB"/>
    <w:rsid w:val="00361453"/>
    <w:rsid w:val="00364050"/>
    <w:rsid w:val="00364294"/>
    <w:rsid w:val="003734E1"/>
    <w:rsid w:val="00375EBB"/>
    <w:rsid w:val="00381526"/>
    <w:rsid w:val="00386D08"/>
    <w:rsid w:val="00391275"/>
    <w:rsid w:val="003929CE"/>
    <w:rsid w:val="003A5370"/>
    <w:rsid w:val="003A7D0E"/>
    <w:rsid w:val="003B24BB"/>
    <w:rsid w:val="003B3A66"/>
    <w:rsid w:val="003C1B4D"/>
    <w:rsid w:val="003C2CCF"/>
    <w:rsid w:val="003D48A4"/>
    <w:rsid w:val="003D647A"/>
    <w:rsid w:val="003E3EA7"/>
    <w:rsid w:val="003F4CDB"/>
    <w:rsid w:val="00404E18"/>
    <w:rsid w:val="00406A09"/>
    <w:rsid w:val="004139C1"/>
    <w:rsid w:val="004178F1"/>
    <w:rsid w:val="00421C5C"/>
    <w:rsid w:val="00424A5A"/>
    <w:rsid w:val="00452C1F"/>
    <w:rsid w:val="00461215"/>
    <w:rsid w:val="004645C1"/>
    <w:rsid w:val="004654FD"/>
    <w:rsid w:val="004660E2"/>
    <w:rsid w:val="0046727B"/>
    <w:rsid w:val="0047004A"/>
    <w:rsid w:val="00472621"/>
    <w:rsid w:val="00474C09"/>
    <w:rsid w:val="0048352E"/>
    <w:rsid w:val="00494982"/>
    <w:rsid w:val="004A5DF5"/>
    <w:rsid w:val="004A6EE3"/>
    <w:rsid w:val="004B0888"/>
    <w:rsid w:val="004C0EED"/>
    <w:rsid w:val="004C1F92"/>
    <w:rsid w:val="004D2A21"/>
    <w:rsid w:val="004E5901"/>
    <w:rsid w:val="004E7F96"/>
    <w:rsid w:val="004F1D8F"/>
    <w:rsid w:val="004F304B"/>
    <w:rsid w:val="00507FC2"/>
    <w:rsid w:val="00513E0C"/>
    <w:rsid w:val="00531F24"/>
    <w:rsid w:val="00534FC8"/>
    <w:rsid w:val="005442FD"/>
    <w:rsid w:val="00547CCA"/>
    <w:rsid w:val="0055334A"/>
    <w:rsid w:val="0056218D"/>
    <w:rsid w:val="00563DE0"/>
    <w:rsid w:val="00566B36"/>
    <w:rsid w:val="005717FD"/>
    <w:rsid w:val="00577762"/>
    <w:rsid w:val="00585D27"/>
    <w:rsid w:val="0058731A"/>
    <w:rsid w:val="00587691"/>
    <w:rsid w:val="0059010F"/>
    <w:rsid w:val="0059248B"/>
    <w:rsid w:val="005B0F7B"/>
    <w:rsid w:val="005B3956"/>
    <w:rsid w:val="005B5E4D"/>
    <w:rsid w:val="005C0A1F"/>
    <w:rsid w:val="005C3C59"/>
    <w:rsid w:val="005D0C85"/>
    <w:rsid w:val="005D5F3F"/>
    <w:rsid w:val="005E595A"/>
    <w:rsid w:val="005E5D2D"/>
    <w:rsid w:val="005E642E"/>
    <w:rsid w:val="005F3D28"/>
    <w:rsid w:val="005F52AE"/>
    <w:rsid w:val="005F6E16"/>
    <w:rsid w:val="00602A30"/>
    <w:rsid w:val="006054BF"/>
    <w:rsid w:val="00610A8C"/>
    <w:rsid w:val="00617301"/>
    <w:rsid w:val="00646289"/>
    <w:rsid w:val="00646C58"/>
    <w:rsid w:val="0065320E"/>
    <w:rsid w:val="00664752"/>
    <w:rsid w:val="00673ABE"/>
    <w:rsid w:val="006777CE"/>
    <w:rsid w:val="006934E1"/>
    <w:rsid w:val="00694200"/>
    <w:rsid w:val="0069616E"/>
    <w:rsid w:val="006A0604"/>
    <w:rsid w:val="006A7042"/>
    <w:rsid w:val="006A7123"/>
    <w:rsid w:val="006B0F4B"/>
    <w:rsid w:val="006D456D"/>
    <w:rsid w:val="006D7313"/>
    <w:rsid w:val="006E5C14"/>
    <w:rsid w:val="006F408B"/>
    <w:rsid w:val="00703777"/>
    <w:rsid w:val="00716804"/>
    <w:rsid w:val="007206B0"/>
    <w:rsid w:val="00737A20"/>
    <w:rsid w:val="0074381E"/>
    <w:rsid w:val="00753E8C"/>
    <w:rsid w:val="00754417"/>
    <w:rsid w:val="00762AF5"/>
    <w:rsid w:val="00795DC2"/>
    <w:rsid w:val="007B750A"/>
    <w:rsid w:val="007C0CD1"/>
    <w:rsid w:val="007C220B"/>
    <w:rsid w:val="007C257B"/>
    <w:rsid w:val="007C27C2"/>
    <w:rsid w:val="007C4FF4"/>
    <w:rsid w:val="007E0D5B"/>
    <w:rsid w:val="007E2276"/>
    <w:rsid w:val="007F218B"/>
    <w:rsid w:val="00810D0C"/>
    <w:rsid w:val="00824025"/>
    <w:rsid w:val="008277F5"/>
    <w:rsid w:val="0083475B"/>
    <w:rsid w:val="008370F2"/>
    <w:rsid w:val="00841058"/>
    <w:rsid w:val="00844953"/>
    <w:rsid w:val="00846C2E"/>
    <w:rsid w:val="00847B3C"/>
    <w:rsid w:val="00851ECC"/>
    <w:rsid w:val="00861D45"/>
    <w:rsid w:val="00866211"/>
    <w:rsid w:val="00890F33"/>
    <w:rsid w:val="008A2192"/>
    <w:rsid w:val="008A584F"/>
    <w:rsid w:val="008B0BE1"/>
    <w:rsid w:val="008C6A37"/>
    <w:rsid w:val="008D0B65"/>
    <w:rsid w:val="008D7A7F"/>
    <w:rsid w:val="008E4B67"/>
    <w:rsid w:val="008F0A65"/>
    <w:rsid w:val="008F7F2F"/>
    <w:rsid w:val="0090543A"/>
    <w:rsid w:val="00912DED"/>
    <w:rsid w:val="009224E2"/>
    <w:rsid w:val="00922C71"/>
    <w:rsid w:val="00931ADF"/>
    <w:rsid w:val="009339F5"/>
    <w:rsid w:val="00933DD8"/>
    <w:rsid w:val="00934F3E"/>
    <w:rsid w:val="00937D77"/>
    <w:rsid w:val="009440A8"/>
    <w:rsid w:val="00946BC0"/>
    <w:rsid w:val="00962587"/>
    <w:rsid w:val="009822BE"/>
    <w:rsid w:val="00990C9A"/>
    <w:rsid w:val="009970B7"/>
    <w:rsid w:val="009A08A7"/>
    <w:rsid w:val="009A3307"/>
    <w:rsid w:val="009A41AC"/>
    <w:rsid w:val="009A45FD"/>
    <w:rsid w:val="009A47C1"/>
    <w:rsid w:val="009B0D59"/>
    <w:rsid w:val="009B0FCC"/>
    <w:rsid w:val="009B2E42"/>
    <w:rsid w:val="009C3FA3"/>
    <w:rsid w:val="009C4227"/>
    <w:rsid w:val="009C5EC4"/>
    <w:rsid w:val="009D1FD1"/>
    <w:rsid w:val="009D2134"/>
    <w:rsid w:val="009E0550"/>
    <w:rsid w:val="009E6A2C"/>
    <w:rsid w:val="009F0927"/>
    <w:rsid w:val="00A01A53"/>
    <w:rsid w:val="00A020B8"/>
    <w:rsid w:val="00A02970"/>
    <w:rsid w:val="00A1342C"/>
    <w:rsid w:val="00A15BB3"/>
    <w:rsid w:val="00A169EE"/>
    <w:rsid w:val="00A25266"/>
    <w:rsid w:val="00A325D0"/>
    <w:rsid w:val="00A37FB3"/>
    <w:rsid w:val="00A410A3"/>
    <w:rsid w:val="00A43941"/>
    <w:rsid w:val="00A47777"/>
    <w:rsid w:val="00A50357"/>
    <w:rsid w:val="00A52A4D"/>
    <w:rsid w:val="00A54C43"/>
    <w:rsid w:val="00A54C55"/>
    <w:rsid w:val="00A62D36"/>
    <w:rsid w:val="00A64852"/>
    <w:rsid w:val="00A74096"/>
    <w:rsid w:val="00A8081F"/>
    <w:rsid w:val="00A8708A"/>
    <w:rsid w:val="00A918A4"/>
    <w:rsid w:val="00A91C28"/>
    <w:rsid w:val="00A96D04"/>
    <w:rsid w:val="00AB093E"/>
    <w:rsid w:val="00AB764D"/>
    <w:rsid w:val="00AB791A"/>
    <w:rsid w:val="00AC0500"/>
    <w:rsid w:val="00AC3444"/>
    <w:rsid w:val="00AC4DF4"/>
    <w:rsid w:val="00AD51D9"/>
    <w:rsid w:val="00AD6740"/>
    <w:rsid w:val="00AD6772"/>
    <w:rsid w:val="00AE14F7"/>
    <w:rsid w:val="00AE3DA6"/>
    <w:rsid w:val="00AF0A58"/>
    <w:rsid w:val="00AF121D"/>
    <w:rsid w:val="00AF2EB9"/>
    <w:rsid w:val="00AF38CA"/>
    <w:rsid w:val="00B03433"/>
    <w:rsid w:val="00B100CB"/>
    <w:rsid w:val="00B1463F"/>
    <w:rsid w:val="00B154E2"/>
    <w:rsid w:val="00B25010"/>
    <w:rsid w:val="00B264EF"/>
    <w:rsid w:val="00B370F4"/>
    <w:rsid w:val="00B4348E"/>
    <w:rsid w:val="00B45D35"/>
    <w:rsid w:val="00B47C04"/>
    <w:rsid w:val="00B53EC1"/>
    <w:rsid w:val="00B66FA2"/>
    <w:rsid w:val="00B757C2"/>
    <w:rsid w:val="00B90553"/>
    <w:rsid w:val="00B91B6A"/>
    <w:rsid w:val="00B91BBF"/>
    <w:rsid w:val="00B93818"/>
    <w:rsid w:val="00BA2588"/>
    <w:rsid w:val="00BA3C6F"/>
    <w:rsid w:val="00BA407A"/>
    <w:rsid w:val="00BB359F"/>
    <w:rsid w:val="00BB423E"/>
    <w:rsid w:val="00BC0DF6"/>
    <w:rsid w:val="00BC3841"/>
    <w:rsid w:val="00BC499A"/>
    <w:rsid w:val="00BC5E5F"/>
    <w:rsid w:val="00BC76FF"/>
    <w:rsid w:val="00BF3615"/>
    <w:rsid w:val="00BF54DA"/>
    <w:rsid w:val="00BF7933"/>
    <w:rsid w:val="00C1455B"/>
    <w:rsid w:val="00C148BB"/>
    <w:rsid w:val="00C149C4"/>
    <w:rsid w:val="00C17C17"/>
    <w:rsid w:val="00C24562"/>
    <w:rsid w:val="00C378B1"/>
    <w:rsid w:val="00C435D4"/>
    <w:rsid w:val="00C50520"/>
    <w:rsid w:val="00C63085"/>
    <w:rsid w:val="00C64EC0"/>
    <w:rsid w:val="00C70269"/>
    <w:rsid w:val="00C73CFA"/>
    <w:rsid w:val="00C77359"/>
    <w:rsid w:val="00C8411D"/>
    <w:rsid w:val="00C84F06"/>
    <w:rsid w:val="00C96C5A"/>
    <w:rsid w:val="00CA1B19"/>
    <w:rsid w:val="00CA68E2"/>
    <w:rsid w:val="00CB0036"/>
    <w:rsid w:val="00CB119F"/>
    <w:rsid w:val="00CC066C"/>
    <w:rsid w:val="00CE05B1"/>
    <w:rsid w:val="00CE5A0A"/>
    <w:rsid w:val="00CE6EAE"/>
    <w:rsid w:val="00CE7964"/>
    <w:rsid w:val="00CE7AC9"/>
    <w:rsid w:val="00CE7B3E"/>
    <w:rsid w:val="00CF3C5E"/>
    <w:rsid w:val="00D055B0"/>
    <w:rsid w:val="00D07F2D"/>
    <w:rsid w:val="00D13688"/>
    <w:rsid w:val="00D14C1F"/>
    <w:rsid w:val="00D15FA8"/>
    <w:rsid w:val="00D23D4D"/>
    <w:rsid w:val="00D27938"/>
    <w:rsid w:val="00D27B83"/>
    <w:rsid w:val="00D51CC5"/>
    <w:rsid w:val="00D55851"/>
    <w:rsid w:val="00D574FF"/>
    <w:rsid w:val="00D608C7"/>
    <w:rsid w:val="00D8056F"/>
    <w:rsid w:val="00D877BB"/>
    <w:rsid w:val="00D91D08"/>
    <w:rsid w:val="00D92B61"/>
    <w:rsid w:val="00DB28E7"/>
    <w:rsid w:val="00DB3194"/>
    <w:rsid w:val="00DC08C9"/>
    <w:rsid w:val="00DD6E45"/>
    <w:rsid w:val="00DE477D"/>
    <w:rsid w:val="00DE5D74"/>
    <w:rsid w:val="00DE7CDF"/>
    <w:rsid w:val="00DF0B81"/>
    <w:rsid w:val="00DF2103"/>
    <w:rsid w:val="00DF4EF1"/>
    <w:rsid w:val="00DF6570"/>
    <w:rsid w:val="00E01833"/>
    <w:rsid w:val="00E27103"/>
    <w:rsid w:val="00E37F65"/>
    <w:rsid w:val="00E51564"/>
    <w:rsid w:val="00E62551"/>
    <w:rsid w:val="00E65451"/>
    <w:rsid w:val="00E65BBC"/>
    <w:rsid w:val="00E74166"/>
    <w:rsid w:val="00E75826"/>
    <w:rsid w:val="00E804B9"/>
    <w:rsid w:val="00E8177A"/>
    <w:rsid w:val="00E839D5"/>
    <w:rsid w:val="00E872DD"/>
    <w:rsid w:val="00E90B38"/>
    <w:rsid w:val="00E90C89"/>
    <w:rsid w:val="00E95C79"/>
    <w:rsid w:val="00EA4975"/>
    <w:rsid w:val="00EA6A5C"/>
    <w:rsid w:val="00EB06BE"/>
    <w:rsid w:val="00EB6AAF"/>
    <w:rsid w:val="00EE59CA"/>
    <w:rsid w:val="00F11449"/>
    <w:rsid w:val="00F211C0"/>
    <w:rsid w:val="00F224AE"/>
    <w:rsid w:val="00F46DDD"/>
    <w:rsid w:val="00F5220F"/>
    <w:rsid w:val="00F54E60"/>
    <w:rsid w:val="00F5688C"/>
    <w:rsid w:val="00F619E7"/>
    <w:rsid w:val="00F67141"/>
    <w:rsid w:val="00F720C0"/>
    <w:rsid w:val="00F729CE"/>
    <w:rsid w:val="00F81314"/>
    <w:rsid w:val="00F86B2D"/>
    <w:rsid w:val="00F86C27"/>
    <w:rsid w:val="00F86DF0"/>
    <w:rsid w:val="00F943D8"/>
    <w:rsid w:val="00FB4035"/>
    <w:rsid w:val="00FC57FA"/>
    <w:rsid w:val="00FE3D89"/>
    <w:rsid w:val="00FE7BA7"/>
    <w:rsid w:val="00FF1C3D"/>
    <w:rsid w:val="04A62A1C"/>
    <w:rsid w:val="04C11604"/>
    <w:rsid w:val="06163BD1"/>
    <w:rsid w:val="07C35B28"/>
    <w:rsid w:val="08311465"/>
    <w:rsid w:val="0C6D3E1F"/>
    <w:rsid w:val="0E0A595C"/>
    <w:rsid w:val="0E3F0579"/>
    <w:rsid w:val="0F182768"/>
    <w:rsid w:val="10AA73F0"/>
    <w:rsid w:val="116B3023"/>
    <w:rsid w:val="1204617D"/>
    <w:rsid w:val="18D47700"/>
    <w:rsid w:val="1C4240E5"/>
    <w:rsid w:val="1C7E45DE"/>
    <w:rsid w:val="1CBD04AB"/>
    <w:rsid w:val="1D4053A6"/>
    <w:rsid w:val="1D681DEC"/>
    <w:rsid w:val="215C4736"/>
    <w:rsid w:val="21697719"/>
    <w:rsid w:val="216E6D19"/>
    <w:rsid w:val="21843C8D"/>
    <w:rsid w:val="2186530F"/>
    <w:rsid w:val="2250591D"/>
    <w:rsid w:val="22D622C7"/>
    <w:rsid w:val="24092228"/>
    <w:rsid w:val="2426102C"/>
    <w:rsid w:val="248C5333"/>
    <w:rsid w:val="256035B5"/>
    <w:rsid w:val="25EE3CB6"/>
    <w:rsid w:val="268758BC"/>
    <w:rsid w:val="27514906"/>
    <w:rsid w:val="28602FA0"/>
    <w:rsid w:val="291D29FD"/>
    <w:rsid w:val="2A5A5DE2"/>
    <w:rsid w:val="2C0025FA"/>
    <w:rsid w:val="2D67693D"/>
    <w:rsid w:val="2DBB0A37"/>
    <w:rsid w:val="2E554CE2"/>
    <w:rsid w:val="2F7962C5"/>
    <w:rsid w:val="31C14142"/>
    <w:rsid w:val="354C2609"/>
    <w:rsid w:val="35551771"/>
    <w:rsid w:val="3557428F"/>
    <w:rsid w:val="379D78E5"/>
    <w:rsid w:val="398C07DC"/>
    <w:rsid w:val="3B793DE1"/>
    <w:rsid w:val="3D407E3C"/>
    <w:rsid w:val="3D485717"/>
    <w:rsid w:val="3DA212CB"/>
    <w:rsid w:val="3EF7064B"/>
    <w:rsid w:val="3FCB28EB"/>
    <w:rsid w:val="40324B88"/>
    <w:rsid w:val="40956B0D"/>
    <w:rsid w:val="43935499"/>
    <w:rsid w:val="43BE0DBB"/>
    <w:rsid w:val="4878739D"/>
    <w:rsid w:val="4C3C28EB"/>
    <w:rsid w:val="4CFF2296"/>
    <w:rsid w:val="4E1E02D7"/>
    <w:rsid w:val="4E4B40B1"/>
    <w:rsid w:val="4F204931"/>
    <w:rsid w:val="512E6400"/>
    <w:rsid w:val="523A79B4"/>
    <w:rsid w:val="53B611D5"/>
    <w:rsid w:val="551B5793"/>
    <w:rsid w:val="59EA1BD8"/>
    <w:rsid w:val="5A932272"/>
    <w:rsid w:val="5C4C6B7A"/>
    <w:rsid w:val="5D3A6375"/>
    <w:rsid w:val="5DE51034"/>
    <w:rsid w:val="5DFF4583"/>
    <w:rsid w:val="5F501CDC"/>
    <w:rsid w:val="600F2399"/>
    <w:rsid w:val="625B7B17"/>
    <w:rsid w:val="63A61A51"/>
    <w:rsid w:val="693A5856"/>
    <w:rsid w:val="69C67F6C"/>
    <w:rsid w:val="6A2D5246"/>
    <w:rsid w:val="6A8249E6"/>
    <w:rsid w:val="6B5C045C"/>
    <w:rsid w:val="6D3E2D09"/>
    <w:rsid w:val="6DC70686"/>
    <w:rsid w:val="6DE54739"/>
    <w:rsid w:val="6FB256A1"/>
    <w:rsid w:val="70C42D2B"/>
    <w:rsid w:val="71CF5404"/>
    <w:rsid w:val="721F0751"/>
    <w:rsid w:val="73A82400"/>
    <w:rsid w:val="748F20DD"/>
    <w:rsid w:val="772067E2"/>
    <w:rsid w:val="77EFDD89"/>
    <w:rsid w:val="7ECE503D"/>
  </w:rsids>
  <w:docVars>
    <w:docVar w:name="commondata" w:val="eyJoZGlkIjoiNTA1YjE1OTI0ZjFiOGFhMWM4MWNjMzdkNjI3N2RmY2MifQ=="/>
  </w:docVars>
  <m:mathPr>
    <m:mathFont m:val="Cambria Math"/>
    <m:smallFrac/>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BC499A"/>
    <w:pPr>
      <w:widowControl w:val="0"/>
      <w:adjustRightInd w:val="0"/>
      <w:spacing w:line="360" w:lineRule="atLeast"/>
      <w:textAlignment w:val="baseline"/>
    </w:pPr>
    <w:rPr>
      <w:sz w:val="24"/>
    </w:rPr>
  </w:style>
  <w:style w:type="paragraph" w:styleId="Heading1">
    <w:name w:val="heading 1"/>
    <w:basedOn w:val="Normal"/>
    <w:next w:val="Normal"/>
    <w:link w:val="1Char"/>
    <w:autoRedefine/>
    <w:uiPriority w:val="9"/>
    <w:qFormat/>
    <w:rsid w:val="00BC499A"/>
    <w:pPr>
      <w:keepNext/>
      <w:keepLines/>
      <w:spacing w:before="340" w:after="330" w:line="578" w:lineRule="atLeast"/>
      <w:outlineLvl w:val="0"/>
    </w:pPr>
    <w:rPr>
      <w:b/>
      <w:bCs/>
      <w:kern w:val="44"/>
      <w:sz w:val="44"/>
      <w:szCs w:val="44"/>
      <w:lang w:val="x-none"/>
    </w:rPr>
  </w:style>
  <w:style w:type="paragraph" w:styleId="Heading2">
    <w:name w:val="heading 2"/>
    <w:basedOn w:val="Normal"/>
    <w:next w:val="Normal"/>
    <w:link w:val="2Char"/>
    <w:uiPriority w:val="9"/>
    <w:qFormat/>
    <w:rsid w:val="00BC499A"/>
    <w:pPr>
      <w:keepNext/>
      <w:keepLines/>
      <w:spacing w:before="260" w:after="260" w:line="416" w:lineRule="atLeast"/>
      <w:outlineLvl w:val="1"/>
    </w:pPr>
    <w:rPr>
      <w:rFonts w:ascii="Cambria" w:hAnsi="Cambria"/>
      <w:b/>
      <w:bCs/>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autoRedefine/>
    <w:semiHidden/>
    <w:qFormat/>
    <w:rsid w:val="00BC499A"/>
    <w:pPr>
      <w:shd w:val="clear" w:color="auto" w:fill="000080"/>
    </w:pPr>
  </w:style>
  <w:style w:type="paragraph" w:styleId="BalloonText">
    <w:name w:val="Balloon Text"/>
    <w:basedOn w:val="Normal"/>
    <w:link w:val="Char"/>
    <w:autoRedefine/>
    <w:qFormat/>
    <w:rsid w:val="00BC499A"/>
    <w:pPr>
      <w:spacing w:line="240" w:lineRule="auto"/>
    </w:pPr>
    <w:rPr>
      <w:sz w:val="18"/>
      <w:szCs w:val="18"/>
      <w:lang w:val="x-none"/>
    </w:rPr>
  </w:style>
  <w:style w:type="paragraph" w:styleId="Footer">
    <w:name w:val="footer"/>
    <w:basedOn w:val="Normal"/>
    <w:link w:val="Char0"/>
    <w:autoRedefine/>
    <w:uiPriority w:val="99"/>
    <w:qFormat/>
    <w:rsid w:val="00BC499A"/>
    <w:pPr>
      <w:tabs>
        <w:tab w:val="center" w:pos="4153"/>
        <w:tab w:val="right" w:pos="8306"/>
      </w:tabs>
      <w:snapToGrid w:val="0"/>
      <w:spacing w:line="240" w:lineRule="atLeast"/>
    </w:pPr>
    <w:rPr>
      <w:sz w:val="18"/>
      <w:szCs w:val="18"/>
      <w:lang w:val="x-none"/>
    </w:rPr>
  </w:style>
  <w:style w:type="paragraph" w:styleId="Header">
    <w:name w:val="header"/>
    <w:basedOn w:val="Normal"/>
    <w:autoRedefine/>
    <w:qFormat/>
    <w:rsid w:val="00BC499A"/>
    <w:pPr>
      <w:pBdr>
        <w:bottom w:val="single" w:sz="6" w:space="1" w:color="auto"/>
      </w:pBdr>
      <w:tabs>
        <w:tab w:val="center" w:pos="4153"/>
        <w:tab w:val="right" w:pos="8306"/>
      </w:tabs>
      <w:snapToGrid w:val="0"/>
      <w:spacing w:line="240" w:lineRule="atLeast"/>
      <w:jc w:val="center"/>
    </w:pPr>
    <w:rPr>
      <w:sz w:val="18"/>
      <w:szCs w:val="18"/>
    </w:rPr>
  </w:style>
  <w:style w:type="paragraph" w:styleId="TOC2">
    <w:name w:val="toc 2"/>
    <w:basedOn w:val="Normal"/>
    <w:next w:val="Normal"/>
    <w:autoRedefine/>
    <w:uiPriority w:val="39"/>
    <w:unhideWhenUsed/>
    <w:qFormat/>
    <w:rsid w:val="00BC499A"/>
    <w:pPr>
      <w:widowControl/>
      <w:adjustRightInd/>
      <w:spacing w:after="100" w:line="276" w:lineRule="auto"/>
      <w:ind w:left="220"/>
      <w:textAlignment w:val="auto"/>
    </w:pPr>
    <w:rPr>
      <w:rFonts w:ascii="Calibri" w:hAnsi="Calibri"/>
      <w:sz w:val="22"/>
      <w:szCs w:val="22"/>
    </w:rPr>
  </w:style>
  <w:style w:type="character" w:styleId="PageNumber">
    <w:name w:val="page number"/>
    <w:autoRedefine/>
    <w:qFormat/>
    <w:rsid w:val="00BC499A"/>
  </w:style>
  <w:style w:type="character" w:customStyle="1" w:styleId="1Char">
    <w:name w:val="标题 1 Char"/>
    <w:link w:val="Heading1"/>
    <w:autoRedefine/>
    <w:uiPriority w:val="9"/>
    <w:qFormat/>
    <w:rsid w:val="00BC499A"/>
    <w:rPr>
      <w:rFonts w:ascii="Times New Roman" w:hAnsi="Times New Roman"/>
      <w:b/>
      <w:bCs/>
      <w:kern w:val="44"/>
      <w:sz w:val="44"/>
      <w:szCs w:val="44"/>
    </w:rPr>
  </w:style>
  <w:style w:type="character" w:customStyle="1" w:styleId="2Char">
    <w:name w:val="标题 2 Char"/>
    <w:link w:val="Heading2"/>
    <w:autoRedefine/>
    <w:uiPriority w:val="9"/>
    <w:qFormat/>
    <w:rsid w:val="00BC499A"/>
    <w:rPr>
      <w:rFonts w:ascii="Cambria" w:hAnsi="Cambria"/>
      <w:b/>
      <w:bCs/>
      <w:sz w:val="32"/>
      <w:szCs w:val="32"/>
    </w:rPr>
  </w:style>
  <w:style w:type="character" w:customStyle="1" w:styleId="Char">
    <w:name w:val="批注框文本 Char"/>
    <w:link w:val="BalloonText"/>
    <w:autoRedefine/>
    <w:qFormat/>
    <w:rsid w:val="00BC499A"/>
    <w:rPr>
      <w:sz w:val="18"/>
      <w:szCs w:val="18"/>
    </w:rPr>
  </w:style>
  <w:style w:type="character" w:customStyle="1" w:styleId="Char0">
    <w:name w:val="页脚 Char"/>
    <w:link w:val="Footer"/>
    <w:autoRedefine/>
    <w:uiPriority w:val="99"/>
    <w:qFormat/>
    <w:rsid w:val="00BC499A"/>
    <w:rPr>
      <w:sz w:val="18"/>
      <w:szCs w:val="18"/>
    </w:rPr>
  </w:style>
  <w:style w:type="paragraph" w:customStyle="1" w:styleId="CharChar">
    <w:name w:val="Char Char"/>
    <w:basedOn w:val="DocumentMap"/>
    <w:autoRedefine/>
    <w:qFormat/>
    <w:rsid w:val="00BC499A"/>
    <w:pPr>
      <w:adjustRightInd/>
      <w:spacing w:line="240" w:lineRule="auto"/>
      <w:jc w:val="both"/>
      <w:textAlignment w:val="auto"/>
    </w:pPr>
  </w:style>
  <w:style w:type="paragraph" w:styleId="ListParagraph">
    <w:name w:val="List Paragraph"/>
    <w:basedOn w:val="Normal"/>
    <w:autoRedefine/>
    <w:uiPriority w:val="34"/>
    <w:qFormat/>
    <w:rsid w:val="00BC499A"/>
    <w:pPr>
      <w:adjustRightInd/>
      <w:spacing w:line="240" w:lineRule="auto"/>
      <w:ind w:firstLine="420" w:firstLineChars="200"/>
      <w:jc w:val="both"/>
      <w:textAlignment w:val="auto"/>
    </w:pPr>
    <w:rPr>
      <w:rFonts w:ascii="Calibri" w:hAnsi="Calibri"/>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229</Words>
  <Characters>1307</Characters>
  <Application>Microsoft Office Word</Application>
  <DocSecurity>0</DocSecurity>
  <Lines>10</Lines>
  <Paragraphs>3</Paragraphs>
  <ScaleCrop>false</ScaleCrop>
  <Company>微软中国</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附件1</dc:title>
  <dc:creator>朱春礼</dc:creator>
  <cp:lastModifiedBy>Windows 用户</cp:lastModifiedBy>
  <cp:revision>21</cp:revision>
  <cp:lastPrinted>2022-01-18T17:13:00Z</cp:lastPrinted>
  <dcterms:created xsi:type="dcterms:W3CDTF">2019-01-31T15:44:00Z</dcterms:created>
  <dcterms:modified xsi:type="dcterms:W3CDTF">2025-01-23T02:07:00Z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4B95CAB44E9D495995FD1933C8C9099D_13</vt:lpwstr>
  </property>
  <property fmtid="{D5CDD505-2E9C-101B-9397-08002B2CF9AE}" pid="3" name="KSOProductBuildVer">
    <vt:lpwstr>2052-12.1.0.16388</vt:lpwstr>
  </property>
</Properties>
</file>