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黑体"/>
          <w:w w:val="95"/>
          <w:sz w:val="44"/>
          <w:szCs w:val="44"/>
          <w:lang w:val="en-US" w:eastAsia="zh-CN"/>
        </w:rPr>
      </w:pPr>
      <w:r>
        <w:rPr>
          <w:rFonts w:hint="eastAsia" w:eastAsia="黑体"/>
          <w:w w:val="95"/>
          <w:sz w:val="44"/>
          <w:szCs w:val="44"/>
          <w:lang w:val="en-US" w:eastAsia="zh-CN"/>
        </w:rPr>
        <w:t xml:space="preserve">  </w:t>
      </w: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eastAsia="黑体"/>
          <w:w w:val="95"/>
          <w:sz w:val="44"/>
          <w:szCs w:val="44"/>
        </w:rPr>
      </w:pPr>
      <w:r>
        <w:rPr>
          <w:rFonts w:hint="eastAsia" w:eastAsia="黑体"/>
          <w:w w:val="95"/>
          <w:sz w:val="44"/>
          <w:szCs w:val="44"/>
        </w:rPr>
        <w:tab/>
      </w:r>
      <w:r>
        <w:rPr>
          <w:rFonts w:hint="eastAsia" w:eastAsia="黑体"/>
          <w:w w:val="95"/>
          <w:sz w:val="44"/>
          <w:szCs w:val="44"/>
        </w:rPr>
        <w:tab/>
      </w:r>
    </w:p>
    <w:p>
      <w:pPr>
        <w:spacing w:line="580" w:lineRule="exact"/>
        <w:jc w:val="center"/>
        <w:rPr>
          <w:rFonts w:eastAsia="黑体"/>
          <w:w w:val="95"/>
          <w:sz w:val="44"/>
          <w:szCs w:val="44"/>
        </w:rPr>
      </w:pPr>
    </w:p>
    <w:p>
      <w:pPr>
        <w:spacing w:line="240" w:lineRule="auto"/>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天津市河北区王串场街社区卫生服务中心</w:t>
      </w:r>
    </w:p>
    <w:p>
      <w:pPr>
        <w:spacing w:line="240" w:lineRule="auto"/>
        <w:jc w:val="center"/>
        <w:rPr>
          <w:rFonts w:hint="eastAsia"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4</w:t>
      </w:r>
      <w:r>
        <w:rPr>
          <w:rFonts w:hint="eastAsia" w:ascii="黑体" w:hAnsi="黑体" w:eastAsia="黑体" w:cs="黑体"/>
          <w:sz w:val="48"/>
          <w:szCs w:val="48"/>
        </w:rPr>
        <w:t>年部门预算</w:t>
      </w:r>
    </w:p>
    <w:p>
      <w:pPr>
        <w:spacing w:line="240" w:lineRule="auto"/>
        <w:jc w:val="center"/>
        <w:rPr>
          <w:rFonts w:hint="eastAsia" w:ascii="方正小标宋简体" w:hAnsi="方正小标宋简体" w:eastAsia="方正小标宋简体" w:cs="方正小标宋简体"/>
          <w:w w:val="95"/>
          <w:sz w:val="48"/>
          <w:szCs w:val="48"/>
        </w:rPr>
      </w:pPr>
    </w:p>
    <w:p>
      <w:pPr>
        <w:spacing w:line="580" w:lineRule="exact"/>
        <w:jc w:val="center"/>
        <w:rPr>
          <w:rFonts w:hint="eastAsia" w:ascii="楷体_GB2312" w:eastAsia="楷体_GB2312"/>
          <w:sz w:val="36"/>
          <w:szCs w:val="36"/>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第二部分  202</w:t>
      </w:r>
      <w:r>
        <w:rPr>
          <w:rFonts w:hint="eastAsia" w:ascii="仿宋_GB2312" w:hAnsi="Times New Roman" w:eastAsia="仿宋_GB2312"/>
          <w:b/>
          <w:sz w:val="30"/>
          <w:szCs w:val="30"/>
          <w:lang w:val="en-US" w:eastAsia="zh-CN"/>
        </w:rPr>
        <w:t>4</w:t>
      </w:r>
      <w:r>
        <w:rPr>
          <w:rFonts w:hint="eastAsia" w:ascii="仿宋_GB2312" w:hAnsi="Times New Roman" w:eastAsia="仿宋_GB2312"/>
          <w:b/>
          <w:sz w:val="30"/>
          <w:szCs w:val="30"/>
        </w:rPr>
        <w:t>年部门预算情况说明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五、关于一般公共预算支出情况的说明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w:t>
      </w:r>
      <w:r>
        <w:rPr>
          <w:rFonts w:hint="eastAsia" w:ascii="仿宋_GB2312" w:hAnsi="Times New Roman" w:eastAsia="仿宋_GB2312"/>
          <w:b/>
          <w:sz w:val="30"/>
          <w:szCs w:val="30"/>
          <w:lang w:eastAsia="zh-CN"/>
        </w:rPr>
        <w:t>24</w:t>
      </w:r>
      <w:r>
        <w:rPr>
          <w:rFonts w:hint="eastAsia" w:ascii="仿宋_GB2312" w:hAnsi="Times New Roman" w:eastAsia="仿宋_GB2312"/>
          <w:b/>
          <w:sz w:val="30"/>
          <w:szCs w:val="30"/>
        </w:rPr>
        <w:t>年部门预算表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一、部门收支总体情况表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二、部门收入总体情况表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三、部门支出总体情况表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十、项目支出表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pPr>
        <w:spacing w:line="600" w:lineRule="exact"/>
        <w:jc w:val="both"/>
        <w:rPr>
          <w:rFonts w:hint="eastAsia" w:ascii="仿宋_GB2312" w:hAnsi="Times New Roman" w:eastAsia="仿宋_GB2312"/>
          <w:sz w:val="30"/>
          <w:szCs w:val="30"/>
        </w:rPr>
      </w:pPr>
      <w:r>
        <w:rPr>
          <w:rFonts w:ascii="仿宋_GB2312" w:hAnsi="Times New Roman" w:eastAsia="仿宋_GB2312"/>
          <w:sz w:val="30"/>
          <w:szCs w:val="30"/>
        </w:rPr>
        <w:fldChar w:fldCharType="end"/>
      </w: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eastAsia="黑体"/>
          <w:w w:val="95"/>
          <w:sz w:val="44"/>
          <w:szCs w:val="44"/>
        </w:rPr>
      </w:pPr>
    </w:p>
    <w:p>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hint="eastAsia" w:ascii="黑体" w:hAnsi="黑体" w:eastAsia="黑体" w:cs="黑体"/>
          <w:b w:val="0"/>
          <w:sz w:val="44"/>
          <w:szCs w:val="44"/>
        </w:rPr>
      </w:pPr>
      <w:bookmarkStart w:id="0" w:name="_Toc78784554"/>
      <w:r>
        <w:rPr>
          <w:rFonts w:hint="eastAsia" w:ascii="黑体" w:hAnsi="黑体" w:eastAsia="黑体" w:cs="黑体"/>
          <w:b w:val="0"/>
          <w:sz w:val="44"/>
          <w:szCs w:val="44"/>
        </w:rPr>
        <w:t>第一部分  概 况</w:t>
      </w:r>
      <w:bookmarkEnd w:id="0"/>
    </w:p>
    <w:p>
      <w:pPr>
        <w:spacing w:line="600" w:lineRule="exact"/>
        <w:rPr>
          <w:rFonts w:hint="eastAsia"/>
        </w:rPr>
      </w:pPr>
    </w:p>
    <w:p>
      <w:pPr>
        <w:pStyle w:val="3"/>
        <w:spacing w:line="600" w:lineRule="exact"/>
        <w:ind w:firstLine="602" w:firstLineChars="200"/>
        <w:rPr>
          <w:rFonts w:hint="eastAsia" w:ascii="黑体" w:hAnsi="黑体" w:eastAsia="黑体"/>
          <w:sz w:val="30"/>
          <w:szCs w:val="30"/>
        </w:rPr>
      </w:pPr>
      <w:bookmarkStart w:id="1" w:name="_Toc78784555"/>
      <w:r>
        <w:rPr>
          <w:rFonts w:hint="eastAsia" w:ascii="黑体" w:hAnsi="黑体" w:eastAsia="黑体"/>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default" w:ascii="仿宋_GB2312" w:hAnsi="Times New Roman" w:eastAsia="仿宋_GB2312" w:cs="Times New Roman"/>
          <w:sz w:val="30"/>
          <w:szCs w:val="30"/>
          <w:lang w:val="en-US" w:eastAsia="zh-CN"/>
        </w:rPr>
      </w:pPr>
      <w:bookmarkStart w:id="2" w:name="_Toc78784556"/>
      <w:r>
        <w:rPr>
          <w:rFonts w:hint="eastAsia" w:ascii="仿宋_GB2312" w:hAnsi="Times New Roman" w:eastAsia="仿宋_GB2312" w:cs="Times New Roman"/>
          <w:sz w:val="30"/>
          <w:szCs w:val="30"/>
          <w:lang w:val="en-US" w:eastAsia="zh-CN"/>
        </w:rPr>
        <w:t>（一）贯彻执行国家和市有关法律、法规和方针、政策，落实全市卫生和计划生育工作的有关政策、规划、标准和技术规范。集医疗、预防、保健、康复服务为一体，具有鲜明中医特色优势的现代化一级医院，是市职工医疗保险、城职居民医疗保险、生育保险定点医疗机构。按照社区卫生服务规划和服务标准执行并组织实施。</w:t>
      </w:r>
      <w:r>
        <w:rPr>
          <w:rFonts w:hint="eastAsia" w:ascii="仿宋_GB2312" w:hAnsi="Times New Roman" w:eastAsia="仿宋_GB2312" w:cs="Times New Roman"/>
          <w:sz w:val="30"/>
          <w:szCs w:val="30"/>
          <w:lang w:val="en-US" w:eastAsia="zh-CN"/>
        </w:rPr>
        <w:br w:type="textWrapping"/>
      </w:r>
      <w:r>
        <w:rPr>
          <w:rFonts w:hint="eastAsia" w:ascii="仿宋_GB2312" w:eastAsia="仿宋_GB2312" w:cs="Times New Roman"/>
          <w:sz w:val="30"/>
          <w:szCs w:val="30"/>
          <w:lang w:val="en-US" w:eastAsia="zh-CN"/>
        </w:rPr>
        <w:t xml:space="preserve">    </w:t>
      </w:r>
      <w:r>
        <w:rPr>
          <w:rFonts w:hint="eastAsia" w:ascii="仿宋_GB2312" w:hAnsi="Times New Roman" w:eastAsia="仿宋_GB2312" w:cs="Times New Roman"/>
          <w:sz w:val="30"/>
          <w:szCs w:val="30"/>
          <w:lang w:val="en-US" w:eastAsia="zh-CN"/>
        </w:rPr>
        <w:t>（二）依据市卫生管理规范、标准和政策措施，对职责范围内的全科门诊、国医堂、日间病房、口腔科、放射科、妇女儿童保健中心及公共卫生服务等进行监督管理。推动卫生防病、防疫、传染病监控工作、开展社区卫生服务，组织实施妇女和儿童的保健、保教工作。负责制定本区卫生应急和紧急医学救援预案、突发公共卫生事件监测和风险评估计划，组织对突发公共卫生事件预防控制和各类突发公共事件的医疗卫生救援。</w:t>
      </w:r>
    </w:p>
    <w:p>
      <w:pPr>
        <w:pStyle w:val="3"/>
        <w:spacing w:line="600" w:lineRule="exact"/>
        <w:ind w:firstLine="602" w:firstLineChars="200"/>
        <w:rPr>
          <w:rFonts w:hint="eastAsia"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天津市河北区王串场街社区卫生服务中心内设13个职能处室；下辖1个预算单位。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纳入天津市河北区王串场街社区卫生服务中心2024年部门预算编制范围的预算单位包括：</w:t>
      </w:r>
    </w:p>
    <w:p>
      <w:pPr>
        <w:spacing w:line="600" w:lineRule="exact"/>
        <w:ind w:firstLine="600"/>
        <w:jc w:val="both"/>
        <w:rPr>
          <w:rFonts w:hint="eastAsia" w:ascii="仿宋_GB2312" w:hAnsi="Times New Roman" w:eastAsia="仿宋_GB2312" w:cs="Times New Roman"/>
          <w:sz w:val="30"/>
          <w:szCs w:val="30"/>
          <w:lang w:val="en-US" w:eastAsia="zh-CN"/>
        </w:rPr>
        <w:sectPr>
          <w:footerReference r:id="rId8" w:type="default"/>
          <w:pgSz w:w="11907" w:h="16840"/>
          <w:pgMar w:top="2098" w:right="1474" w:bottom="1304" w:left="1588" w:header="765" w:footer="765" w:gutter="0"/>
          <w:pgNumType w:fmt="numberInDash" w:start="1"/>
          <w:cols w:space="720" w:num="1"/>
          <w:docGrid w:linePitch="326" w:charSpace="0"/>
        </w:sectPr>
      </w:pPr>
      <w:r>
        <w:rPr>
          <w:rFonts w:hint="eastAsia" w:ascii="仿宋_GB2312" w:hAnsi="Times New Roman" w:eastAsia="仿宋_GB2312" w:cs="Times New Roman"/>
          <w:sz w:val="30"/>
          <w:szCs w:val="30"/>
          <w:lang w:val="en-US" w:eastAsia="zh-CN"/>
        </w:rPr>
        <w:t>1.天津市河北区王串场街社区卫生服务中心</w:t>
      </w:r>
    </w:p>
    <w:p>
      <w:pPr>
        <w:pStyle w:val="2"/>
        <w:spacing w:line="600" w:lineRule="exact"/>
        <w:jc w:val="center"/>
        <w:rPr>
          <w:rFonts w:hint="eastAsia" w:ascii="黑体" w:eastAsia="黑体"/>
          <w:sz w:val="30"/>
          <w:szCs w:val="30"/>
        </w:rPr>
      </w:pPr>
      <w:bookmarkStart w:id="3" w:name="_Toc78784570"/>
      <w:r>
        <w:rPr>
          <w:rFonts w:hint="eastAsia" w:ascii="黑体" w:hAnsi="黑体" w:eastAsia="黑体" w:cs="黑体"/>
          <w:b/>
          <w:bCs/>
          <w:sz w:val="44"/>
          <w:szCs w:val="44"/>
        </w:rPr>
        <w:t>第二部分  20</w:t>
      </w:r>
      <w:r>
        <w:rPr>
          <w:rFonts w:hint="eastAsia" w:ascii="黑体" w:hAnsi="黑体" w:eastAsia="黑体" w:cs="黑体"/>
          <w:b/>
          <w:bCs/>
          <w:sz w:val="44"/>
          <w:szCs w:val="44"/>
          <w:lang w:eastAsia="zh-CN"/>
        </w:rPr>
        <w:t>24</w:t>
      </w:r>
      <w:r>
        <w:rPr>
          <w:rFonts w:hint="eastAsia" w:ascii="黑体" w:hAnsi="黑体" w:eastAsia="黑体" w:cs="黑体"/>
          <w:b/>
          <w:bCs/>
          <w:sz w:val="44"/>
          <w:szCs w:val="44"/>
        </w:rPr>
        <w:t>年部门预算情况说明</w:t>
      </w:r>
      <w:bookmarkEnd w:id="3"/>
    </w:p>
    <w:p>
      <w:pPr>
        <w:pStyle w:val="3"/>
        <w:spacing w:line="600" w:lineRule="exact"/>
        <w:ind w:firstLine="600" w:firstLineChars="200"/>
        <w:rPr>
          <w:rFonts w:hint="eastAsia"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按照综合预算的原则，天津市河北区王串场街社区卫生服务中心所有收入和支出均纳入部门预算管理。收入包括：一般公共预算拨款收入10,071,199.00元、政府性基金预算拨款收入0.00元、国有资本经营预算拨款收入0.00元、财政专户管理资金收入0.00元、事业收入81,500,000.00元、事业单位经营收入0.00元、上级补助收入0.00元、附属单位上缴收入0.00元、其他收入0.00元、上年结转结余113,500.00元；支出包括：社会保障和就业支出1,268,299.00元、卫生健康支出90,416,400.00元。天津市河北区王串场街社区卫生服务中心2024年收支总预算91,684,699.00元。</w:t>
      </w:r>
    </w:p>
    <w:p>
      <w:pPr>
        <w:pStyle w:val="3"/>
        <w:spacing w:line="600" w:lineRule="exact"/>
        <w:ind w:firstLine="600" w:firstLineChars="200"/>
        <w:rPr>
          <w:rFonts w:hint="eastAsia"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天津市河北区王串场街社区卫生服务中心2024年部门预算收入91,684,699.00元，与2023年预算相比减少66,339,296.20元，主要原因是财政拨款的人员、项目经费减少，以及事业收入下降。其中：上年结转结余113,500.00元，占0.12%；一般公共预算10,071,199.00元，占10.98%；政府性基金预算0.00元，占0.00%；国有资本经营预算0.00元，占0.00%；财政专户管理资金0.00元，占0.00%；事业收入81,500,000.00元，占88.89%；事业单位经营收入0.00元，占0.00%；上级补助收入0.00元，占0.00%；附属单位上缴收入0.00元，占0.00%；其他收入0.00元，占0.00%。</w:t>
      </w:r>
    </w:p>
    <w:p>
      <w:pPr>
        <w:pStyle w:val="3"/>
        <w:spacing w:line="600" w:lineRule="exact"/>
        <w:ind w:firstLine="600" w:firstLineChars="200"/>
        <w:rPr>
          <w:rFonts w:hint="eastAsia"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7" w:name="_Toc78784574"/>
      <w:r>
        <w:rPr>
          <w:rFonts w:hint="eastAsia" w:ascii="仿宋_GB2312" w:hAnsi="Times New Roman" w:eastAsia="仿宋_GB2312" w:cs="Times New Roman"/>
          <w:sz w:val="30"/>
          <w:szCs w:val="30"/>
          <w:lang w:val="en-US" w:eastAsia="zh-CN"/>
        </w:rPr>
        <w:t>天津市河北区王串场街社区卫生服务中心2024年支出预算91,684,699.00元，与2023年预算相比减少66,339,296.20元，主要原因是财政拨款的人员、项目经费减少，以及事业收入下降。其中：基本支出86,891,199.00元，占94.77%；项目支出4,793,500.00元，占5.23%；事业单位经营支出0.00元，占0.00%；上缴上级支出0.00元，占0.00%；对附属单位补助支出0.00元，占0.00%。</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8" w:name="_Toc78784575"/>
      <w:r>
        <w:rPr>
          <w:rFonts w:hint="eastAsia" w:ascii="仿宋_GB2312" w:hAnsi="Times New Roman" w:eastAsia="仿宋_GB2312" w:cs="Times New Roman"/>
          <w:sz w:val="30"/>
          <w:szCs w:val="30"/>
          <w:lang w:val="en-US" w:eastAsia="zh-CN"/>
        </w:rPr>
        <w:t>天津市河北区王串场街社区卫生服务中心2024年财政拨款收入预算10,184,699.00元，与2023年预算相比减少2,688,196.20元，主要原因是人员、项目经费减少。收入包括：一般公共预算拨款收入10,071,199.00元、政府性基金预算拨款收入0.00元、国有资本经营预算拨款收入0.00元、上年财政结转结余113,500.00元。2024年财政拨款支出预算10,184,699.00元，与2023年预算相比减少2,688,196.20元，主要原因是人员、项目经费减少。支出包括：社会保障和就业支出1,268,299.00元、卫生健康支出8,916,400.00元。</w:t>
      </w:r>
    </w:p>
    <w:p>
      <w:pPr>
        <w:pStyle w:val="3"/>
        <w:spacing w:line="600" w:lineRule="exact"/>
        <w:ind w:firstLine="600" w:firstLineChars="200"/>
        <w:rPr>
          <w:rFonts w:hint="eastAsia" w:ascii="黑体" w:hAnsi="黑体" w:eastAsia="黑体"/>
          <w:b w:val="0"/>
          <w:sz w:val="30"/>
          <w:szCs w:val="30"/>
        </w:rPr>
      </w:pPr>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天津市河北区王串场街社区卫生服务中心2024年一般公共预算支出10,184,699.00元，与2023年预算相比减少2,688,196.20元，主要原因是人员、项目经费减少。</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lang w:eastAsia="zh-CN"/>
        </w:rPr>
        <w:t>（</w:t>
      </w:r>
      <w:r>
        <w:rPr>
          <w:rFonts w:hint="eastAsia" w:ascii="楷体" w:hAnsi="楷体" w:eastAsia="楷体" w:cs="仿宋_GB2312"/>
          <w:b/>
          <w:sz w:val="30"/>
          <w:szCs w:val="30"/>
          <w:lang w:val="en-US" w:eastAsia="zh-CN"/>
        </w:rPr>
        <w:t>二</w:t>
      </w:r>
      <w:r>
        <w:rPr>
          <w:rFonts w:hint="eastAsia" w:ascii="楷体" w:hAnsi="楷体" w:eastAsia="楷体" w:cs="仿宋_GB2312"/>
          <w:b/>
          <w:sz w:val="30"/>
          <w:szCs w:val="30"/>
          <w:lang w:eastAsia="zh-CN"/>
        </w:rPr>
        <w:t>）</w:t>
      </w:r>
      <w:r>
        <w:rPr>
          <w:rFonts w:hint="eastAsia" w:ascii="楷体" w:hAnsi="楷体" w:eastAsia="楷体" w:cs="仿宋_GB2312"/>
          <w:b/>
          <w:sz w:val="30"/>
          <w:szCs w:val="30"/>
        </w:rPr>
        <w:t>具体情况。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1.“社会保障和就业支出（类）”1,268,299.00元，与2023年预算相比减少13,413.00元，主要原因是社会保险缴费费用减少，其中：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行政事业单位养老支出（款）”1,268,299.00元，包括：“事业单位离退休（项）”465,206.00元，主要用于退休人员的退休费；“机关事业单位基本养老保险缴费支出（项）”535,395.00元，主要用于机关事业单位在职人员养老保险的缴费；“机关事业单位职业年金缴费支出（项）”267,698.00元，主要用于机关事业单位在职人员职业年金的缴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2.“卫生健康支出（类）”8,916,400.00元，与2023年预算相比减少2,674,783.20元，主要原因是社会保险缴费减少，基本公共卫生服务支出减少，其中：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“基层医疗卫生机构（款）”3,925,241.00元，包括：“城市社区卫生机构（项）”3,925,241.00元，主要用于在职职工基本工资和外聘工资占比在职工资的10%；</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公共卫生（款）”4,733,500.00元，包括：“基本公共卫生服务（项）”4,620,000.00元，主要用于基本公共卫生服务的各项支出；“重大公共卫生服务（项）”113,500.00元，主要用于重大传染病防控的慢阻肺项目和全国居民健康素养监测项目；</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行政事业单位医疗（款）”257,659.00元，包括：“事业单位医疗（项）”140,541.00元，主要用于事业单位在职职工的医疗保险缴费；“其他行政事业单位医疗支出（项）”117,118.00元，主要用于事业单位在职职工的医疗保险缴费。</w:t>
      </w:r>
    </w:p>
    <w:p>
      <w:pPr>
        <w:numPr>
          <w:ilvl w:val="0"/>
          <w:numId w:val="0"/>
        </w:numPr>
        <w:spacing w:line="600" w:lineRule="exact"/>
        <w:rPr>
          <w:rFonts w:hint="eastAsia" w:ascii="楷体" w:hAnsi="楷体" w:eastAsia="楷体" w:cs="仿宋_GB2312"/>
          <w:b/>
          <w:sz w:val="30"/>
          <w:szCs w:val="30"/>
        </w:rPr>
      </w:pPr>
    </w:p>
    <w:p>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10" w:name="_Toc78784577"/>
      <w:r>
        <w:rPr>
          <w:rFonts w:hint="eastAsia" w:ascii="仿宋_GB2312" w:hAnsi="Times New Roman" w:eastAsia="仿宋_GB2312" w:cs="Times New Roman"/>
          <w:sz w:val="30"/>
          <w:szCs w:val="30"/>
          <w:lang w:val="en-US" w:eastAsia="zh-CN"/>
        </w:rPr>
        <w:t>天津市河北区王串场街社区卫生服务中心一般公共预算基本支出5,391,199.00元，与2023年预算相比减少144,261.00元，主要原因是在职职工的社会保险缴费减少。其中：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人员经费5,209,699.00元，主要包括：机关事业单位基本养老保险缴费、职业年金缴费、职工基本医疗保险缴费、其他社会保障缴费、医疗费、其他工资福利支出、退休费、生活补助。</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公用经费181,500.00元，主要包括：福利费。</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2024年一般公共预算“三公”经费安排0.00元，与2023年预算相比增加（减少）0.00元，主要原因是本部门一般公共预算未安排“三公”经费。具体情况：</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一、2024年因公出国（境）费预算0.00元，与2023年预算相比增加（减少）0.00元，主要原因是本部门一般公共预算未安排“因公出国（境）”费。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三、2024年公务接待费预算0.00元，与2023年预算相比增加（减少）0.00元，主要原因是本部门一般公共预算未安排“公务接待”费。</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2" w:firstLineChars="200"/>
        <w:textAlignment w:val="baseline"/>
        <w:rPr>
          <w:rFonts w:hint="default" w:eastAsia="仿宋_GB2312"/>
          <w:sz w:val="30"/>
          <w:szCs w:val="30"/>
          <w:lang w:val="en-US"/>
        </w:rPr>
      </w:pP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2024年天津市河北区王串场街社区卫生服务中心预算中没有使用政府性基金预算安排的支出。</w:t>
      </w:r>
      <w:r>
        <w:rPr>
          <w:rFonts w:hint="eastAsia" w:ascii="楷体" w:hAnsi="楷体" w:eastAsia="楷体" w:cs="仿宋_GB2312"/>
          <w:b/>
          <w:sz w:val="30"/>
          <w:szCs w:val="30"/>
          <w:lang w:val="en-US" w:eastAsia="zh-CN"/>
        </w:rPr>
        <w:t xml:space="preserve"> </w:t>
      </w:r>
      <w:bookmarkStart w:id="11" w:name="_Toc78784578"/>
      <w:r>
        <w:rPr>
          <w:rFonts w:hint="eastAsia" w:ascii="仿宋_GB2312" w:hAnsi="Times New Roman" w:eastAsia="仿宋_GB2312" w:cs="Times New Roman"/>
          <w:sz w:val="30"/>
          <w:szCs w:val="30"/>
          <w:lang w:val="en-US" w:eastAsia="zh-CN"/>
        </w:rPr>
        <w:t xml:space="preserve"> </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2" w:firstLineChars="200"/>
        <w:textAlignment w:val="baseline"/>
      </w:pP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2024年天津市河北区王串场街社区卫生服务中心预算中没有使用国有资本经营预算预算安排的支出。</w:t>
      </w: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 xml:space="preserve"> </w:t>
      </w:r>
    </w:p>
    <w:p>
      <w:pPr>
        <w:pStyle w:val="3"/>
        <w:spacing w:line="600" w:lineRule="exact"/>
        <w:ind w:firstLine="600" w:firstLineChars="200"/>
        <w:rPr>
          <w:rFonts w:hint="eastAsia"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spacing w:line="580" w:lineRule="exact"/>
        <w:ind w:firstLine="600" w:firstLineChars="200"/>
        <w:rPr>
          <w:rFonts w:hint="eastAsia" w:eastAsia="楷体_GB2312"/>
          <w:sz w:val="30"/>
          <w:szCs w:val="30"/>
        </w:rPr>
      </w:pPr>
      <w:r>
        <w:rPr>
          <w:rFonts w:hint="eastAsia" w:ascii="仿宋_GB2312" w:hAnsi="仿宋_GB2312" w:eastAsia="仿宋_GB2312" w:cs="仿宋_GB2312"/>
          <w:sz w:val="30"/>
          <w:szCs w:val="30"/>
          <w:lang w:val="en-US" w:eastAsia="zh-CN"/>
        </w:rPr>
        <w:t>天津市河北区王串场街社区卫生服务中心2024年未安排机关运行经费预算。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（二）政府采购情况。</w:t>
      </w:r>
    </w:p>
    <w:p>
      <w:pPr>
        <w:spacing w:line="580" w:lineRule="exact"/>
        <w:ind w:firstLine="600" w:firstLineChars="200"/>
        <w:rPr>
          <w:rFonts w:hint="eastAsia" w:eastAsia="楷体_GB2312"/>
          <w:sz w:val="30"/>
          <w:szCs w:val="30"/>
        </w:rPr>
      </w:pPr>
      <w:r>
        <w:rPr>
          <w:rFonts w:hint="eastAsia" w:ascii="仿宋_GB2312" w:hAnsi="仿宋_GB2312" w:eastAsia="仿宋_GB2312" w:cs="仿宋_GB2312"/>
          <w:sz w:val="30"/>
          <w:szCs w:val="30"/>
          <w:lang w:val="en-US" w:eastAsia="zh-CN"/>
        </w:rPr>
        <w:t>天津市河北区王串场街社区卫生服务中心2024年未安排政府采购预算。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（三）国有资产占用情况。</w:t>
      </w:r>
    </w:p>
    <w:p>
      <w:pPr>
        <w:spacing w:line="580" w:lineRule="exact"/>
        <w:ind w:firstLine="600" w:firstLineChars="200"/>
        <w:jc w:val="both"/>
        <w:rPr>
          <w:rFonts w:hint="eastAsia" w:eastAsia="仿宋_GB2312"/>
          <w:sz w:val="30"/>
          <w:szCs w:val="30"/>
        </w:rPr>
      </w:pPr>
      <w:r>
        <w:rPr>
          <w:rFonts w:hint="eastAsia" w:ascii="仿宋_GB2312" w:hAnsi="仿宋_GB2312" w:eastAsia="仿宋_GB2312" w:cs="仿宋_GB2312"/>
          <w:color w:val="000000"/>
          <w:sz w:val="30"/>
          <w:szCs w:val="30"/>
          <w:lang w:val="en-US" w:eastAsia="zh-CN"/>
        </w:rPr>
        <w:t>截至2023年7月底，本部门各单位共有车辆1辆，其中：副部（省）级及以上领导用车0辆、主要负责人干部用车0辆、机要通信用车0辆、应急保障用车0辆、执法执勤用车0辆、特种专业技术用车0辆、离退休干部服务用车0辆、其他用车1辆，其他用车主要包括医疗业务用车。单价（账面原值）100万元以上的设备0台（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（四）预算绩效情况说明。</w:t>
      </w:r>
    </w:p>
    <w:p>
      <w:pPr>
        <w:spacing w:line="580" w:lineRule="exact"/>
        <w:ind w:firstLine="600" w:firstLineChars="200"/>
        <w:jc w:val="both"/>
        <w:rPr>
          <w:rFonts w:hint="eastAsia" w:ascii="仿宋_GB2312" w:hAnsi="仿宋_GB2312" w:eastAsia="仿宋_GB2312" w:cs="仿宋_GB2312"/>
          <w:sz w:val="30"/>
          <w:szCs w:val="30"/>
          <w:lang w:val="en-US" w:eastAsia="zh-CN"/>
        </w:rPr>
        <w:sectPr>
          <w:pgSz w:w="11907" w:h="16840"/>
          <w:pgMar w:top="2098" w:right="1474" w:bottom="1304" w:left="1588" w:header="765" w:footer="765" w:gutter="0"/>
          <w:pgNumType w:fmt="numberInDash" w:start="1"/>
          <w:cols w:space="720" w:num="1"/>
          <w:docGrid w:linePitch="326" w:charSpace="0"/>
        </w:sectPr>
      </w:pPr>
      <w:r>
        <w:rPr>
          <w:rFonts w:hint="eastAsia" w:ascii="仿宋_GB2312" w:hAnsi="仿宋_GB2312" w:eastAsia="仿宋_GB2312" w:cs="仿宋_GB2312"/>
          <w:sz w:val="30"/>
          <w:szCs w:val="30"/>
          <w:lang w:val="en-US" w:eastAsia="zh-CN"/>
        </w:rPr>
        <w:t>本部门2024年实行绩效目标管理的项目5个，涉及预算金额4,793,500.00元。</w:t>
      </w:r>
    </w:p>
    <w:p>
      <w:pPr>
        <w:spacing w:line="580" w:lineRule="exact"/>
        <w:jc w:val="both"/>
        <w:rPr>
          <w:rFonts w:hint="eastAsia" w:ascii="仿宋_GB2312" w:hAnsi="仿宋_GB2312" w:eastAsia="仿宋_GB2312" w:cs="仿宋_GB2312"/>
          <w:sz w:val="30"/>
          <w:szCs w:val="30"/>
          <w:lang w:val="en-US" w:eastAsia="zh-CN"/>
        </w:rPr>
      </w:pPr>
    </w:p>
    <w:p>
      <w:pPr>
        <w:pStyle w:val="2"/>
        <w:spacing w:line="600" w:lineRule="exact"/>
        <w:jc w:val="center"/>
        <w:rPr>
          <w:rFonts w:hint="eastAsia" w:ascii="黑体" w:hAnsi="黑体" w:eastAsia="黑体" w:cs="黑体"/>
          <w:b/>
          <w:bCs/>
          <w:sz w:val="44"/>
          <w:szCs w:val="44"/>
        </w:rPr>
      </w:pPr>
      <w:bookmarkStart w:id="13" w:name="_Toc78784585"/>
      <w:r>
        <w:rPr>
          <w:rFonts w:hint="eastAsia" w:ascii="黑体" w:hAnsi="黑体" w:eastAsia="黑体" w:cs="黑体"/>
          <w:b/>
          <w:bCs/>
          <w:sz w:val="44"/>
          <w:szCs w:val="44"/>
        </w:rPr>
        <w:t>第三部分  名词解释</w:t>
      </w:r>
      <w:bookmarkEnd w:id="13"/>
    </w:p>
    <w:p>
      <w:pPr>
        <w:spacing w:line="600" w:lineRule="exact"/>
        <w:ind w:firstLine="600" w:firstLineChars="200"/>
        <w:rPr>
          <w:rFonts w:hint="eastAsia" w:ascii="仿宋_GB2312" w:eastAsia="仿宋_GB2312"/>
          <w:sz w:val="30"/>
          <w:szCs w:val="30"/>
        </w:rPr>
      </w:pPr>
    </w:p>
    <w:p>
      <w:pPr>
        <w:spacing w:line="580"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hint="eastAsia"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spacing w:line="580" w:lineRule="exact"/>
        <w:ind w:firstLine="600" w:firstLineChars="200"/>
        <w:rPr>
          <w:rFonts w:hint="eastAsia" w:eastAsia="楷体_GB2312"/>
          <w:sz w:val="30"/>
          <w:szCs w:val="30"/>
        </w:rPr>
      </w:pPr>
      <w:r>
        <w:rPr>
          <w:rFonts w:hint="eastAsia" w:eastAsia="楷体_GB2312"/>
          <w:sz w:val="30"/>
          <w:szCs w:val="30"/>
        </w:rPr>
        <w:t>（“部门预算”和“机关运行经费”作为专业性名词各单位必须公开。除此之外，</w:t>
      </w:r>
      <w:r>
        <w:rPr>
          <w:rFonts w:eastAsia="楷体_GB2312"/>
          <w:sz w:val="30"/>
          <w:szCs w:val="30"/>
        </w:rPr>
        <w:t>各单位可</w:t>
      </w:r>
      <w:r>
        <w:rPr>
          <w:rFonts w:hint="eastAsia" w:eastAsia="楷体_GB2312"/>
          <w:sz w:val="30"/>
          <w:szCs w:val="30"/>
        </w:rPr>
        <w:t>根据需要对说明中其他专业性较强名词</w:t>
      </w:r>
      <w:r>
        <w:rPr>
          <w:rFonts w:eastAsia="楷体_GB2312"/>
          <w:sz w:val="30"/>
          <w:szCs w:val="30"/>
        </w:rPr>
        <w:t>进行解释</w:t>
      </w:r>
      <w:r>
        <w:rPr>
          <w:rFonts w:hint="eastAsia" w:eastAsia="楷体_GB2312"/>
          <w:sz w:val="30"/>
          <w:szCs w:val="30"/>
        </w:rPr>
        <w:t>。</w:t>
      </w:r>
      <w:r>
        <w:rPr>
          <w:rFonts w:eastAsia="楷体_GB2312"/>
          <w:sz w:val="30"/>
          <w:szCs w:val="30"/>
        </w:rPr>
        <w:t>）</w:t>
      </w: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eastAsia="楷体_GB2312"/>
          <w:sz w:val="30"/>
          <w:szCs w:val="30"/>
        </w:rPr>
      </w:pPr>
    </w:p>
    <w:p>
      <w:pPr>
        <w:pStyle w:val="2"/>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第四部分  20</w:t>
      </w:r>
      <w:r>
        <w:rPr>
          <w:rFonts w:hint="eastAsia" w:ascii="黑体" w:hAnsi="黑体" w:eastAsia="黑体" w:cs="黑体"/>
          <w:b/>
          <w:bCs/>
          <w:sz w:val="44"/>
          <w:szCs w:val="44"/>
          <w:lang w:eastAsia="zh-CN"/>
        </w:rPr>
        <w:t>24</w:t>
      </w:r>
      <w:r>
        <w:rPr>
          <w:rFonts w:hint="eastAsia" w:ascii="黑体" w:hAnsi="黑体" w:eastAsia="黑体" w:cs="黑体"/>
          <w:b/>
          <w:bCs/>
          <w:sz w:val="44"/>
          <w:szCs w:val="44"/>
        </w:rPr>
        <w:t>年部门预算表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十、《项目支出表》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1.“本单位（部门）2024年一般公共预算“三公”经费支出情况表为空表”。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2.“本单位（部门）2024年政府性基金预算支出情况表为空表”。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3.“本单位（部门）</w:t>
      </w:r>
      <w:bookmarkStart w:id="14" w:name="_GoBack"/>
      <w:bookmarkEnd w:id="14"/>
      <w:r>
        <w:rPr>
          <w:rFonts w:hint="eastAsia" w:ascii="仿宋_GB2312" w:hAnsi="仿宋_GB2312" w:eastAsia="仿宋_GB2312" w:cs="仿宋_GB2312"/>
          <w:sz w:val="30"/>
          <w:szCs w:val="30"/>
          <w:lang w:val="en-US" w:eastAsia="zh-CN"/>
        </w:rPr>
        <w:t>2024年国有资本经营预算支出情况表为空表”。</w:t>
      </w:r>
    </w:p>
    <w:p>
      <w:pPr>
        <w:spacing w:line="560" w:lineRule="exact"/>
        <w:rPr>
          <w:rFonts w:hint="eastAsia" w:eastAsia="楷体"/>
          <w:sz w:val="30"/>
          <w:szCs w:val="30"/>
        </w:rPr>
      </w:pPr>
    </w:p>
    <w:p>
      <w:pPr>
        <w:spacing w:line="560" w:lineRule="exact"/>
        <w:ind w:firstLine="600" w:firstLineChars="200"/>
        <w:rPr>
          <w:rFonts w:eastAsia="楷体_GB2312"/>
          <w:sz w:val="30"/>
          <w:szCs w:val="30"/>
        </w:rPr>
      </w:pPr>
      <w:r>
        <w:rPr>
          <w:rFonts w:hint="eastAsia" w:eastAsia="楷体"/>
          <w:sz w:val="30"/>
          <w:szCs w:val="30"/>
        </w:rPr>
        <w:t>注：以上预算公开表均作为附表，附于预算公开说明文档后。</w:t>
      </w:r>
    </w:p>
    <w:sectPr>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5 -</w: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1YjE1OTI0ZjFiOGFhMWM4MWNjMzdkNjI3N2RmY2MifQ=="/>
  </w:docVars>
  <w:rsids>
    <w:rsidRoot w:val="00937D77"/>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43691E"/>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A028AE"/>
    <w:rsid w:val="6FB256A1"/>
    <w:rsid w:val="70C42D2B"/>
    <w:rsid w:val="71CF5404"/>
    <w:rsid w:val="721F0751"/>
    <w:rsid w:val="73A82400"/>
    <w:rsid w:val="748F20DD"/>
    <w:rsid w:val="772067E2"/>
    <w:rsid w:val="77EFDD89"/>
    <w:rsid w:val="7ECE503D"/>
    <w:rsid w:val="DEFFAB64"/>
    <w:rsid w:val="F51C3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2"/>
    <w:autoRedefine/>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3"/>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Balloon Text"/>
    <w:basedOn w:val="1"/>
    <w:link w:val="14"/>
    <w:autoRedefine/>
    <w:qFormat/>
    <w:uiPriority w:val="0"/>
    <w:pPr>
      <w:spacing w:line="240" w:lineRule="auto"/>
    </w:pPr>
    <w:rPr>
      <w:sz w:val="18"/>
      <w:szCs w:val="18"/>
    </w:rPr>
  </w:style>
  <w:style w:type="paragraph" w:styleId="6">
    <w:name w:val="footer"/>
    <w:basedOn w:val="1"/>
    <w:link w:val="15"/>
    <w:autoRedefine/>
    <w:qFormat/>
    <w:uiPriority w:val="99"/>
    <w:pPr>
      <w:tabs>
        <w:tab w:val="center" w:pos="4153"/>
        <w:tab w:val="right" w:pos="8306"/>
      </w:tabs>
      <w:snapToGrid w:val="0"/>
      <w:spacing w:line="240" w:lineRule="atLeas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autoRedefine/>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autoRedefine/>
    <w:qFormat/>
    <w:uiPriority w:val="0"/>
  </w:style>
  <w:style w:type="character" w:customStyle="1" w:styleId="12">
    <w:name w:val="标题 1 Char"/>
    <w:link w:val="2"/>
    <w:autoRedefine/>
    <w:qFormat/>
    <w:uiPriority w:val="9"/>
    <w:rPr>
      <w:rFonts w:ascii="Times New Roman" w:hAnsi="Times New Roman"/>
      <w:b/>
      <w:bCs/>
      <w:kern w:val="44"/>
      <w:sz w:val="44"/>
      <w:szCs w:val="44"/>
    </w:rPr>
  </w:style>
  <w:style w:type="character" w:customStyle="1" w:styleId="13">
    <w:name w:val="标题 2 Char"/>
    <w:link w:val="3"/>
    <w:autoRedefine/>
    <w:qFormat/>
    <w:uiPriority w:val="9"/>
    <w:rPr>
      <w:rFonts w:ascii="Cambria" w:hAnsi="Cambria"/>
      <w:b/>
      <w:bCs/>
      <w:sz w:val="32"/>
      <w:szCs w:val="32"/>
    </w:rPr>
  </w:style>
  <w:style w:type="character" w:customStyle="1" w:styleId="14">
    <w:name w:val="批注框文本 Char"/>
    <w:link w:val="5"/>
    <w:autoRedefine/>
    <w:qFormat/>
    <w:uiPriority w:val="0"/>
    <w:rPr>
      <w:sz w:val="18"/>
      <w:szCs w:val="18"/>
    </w:rPr>
  </w:style>
  <w:style w:type="character" w:customStyle="1" w:styleId="15">
    <w:name w:val="页脚 Char"/>
    <w:link w:val="6"/>
    <w:autoRedefine/>
    <w:qFormat/>
    <w:uiPriority w:val="99"/>
    <w:rPr>
      <w:sz w:val="18"/>
      <w:szCs w:val="18"/>
    </w:rPr>
  </w:style>
  <w:style w:type="paragraph" w:customStyle="1" w:styleId="16">
    <w:name w:val="Char Char"/>
    <w:basedOn w:val="4"/>
    <w:autoRedefine/>
    <w:qFormat/>
    <w:uiPriority w:val="0"/>
    <w:pPr>
      <w:adjustRightInd/>
      <w:spacing w:line="240" w:lineRule="auto"/>
      <w:jc w:val="both"/>
      <w:textAlignment w:val="auto"/>
    </w:pPr>
  </w:style>
  <w:style w:type="paragraph" w:styleId="17">
    <w:name w:val="List Paragraph"/>
    <w:basedOn w:val="1"/>
    <w:autoRedefine/>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711</Words>
  <Characters>4055</Characters>
  <Lines>33</Lines>
  <Paragraphs>9</Paragraphs>
  <TotalTime>34</TotalTime>
  <ScaleCrop>false</ScaleCrop>
  <LinksUpToDate>false</LinksUpToDate>
  <CharactersWithSpaces>4757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2019-01-31T15:44:00Z</dcterms:created>
  <dc:creator>朱春礼</dc:creator>
  <cp:lastModifiedBy>asus</cp:lastModifiedBy>
  <cp:lastPrinted>2022-01-18T17:13:00Z</cp:lastPrinted>
  <dcterms:modified xsi:type="dcterms:W3CDTF">2024-04-02T07:03:24Z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