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978C" w14:textId="77777777" w:rsidR="0040652B" w:rsidRDefault="0040652B" w:rsidP="0040652B">
      <w:pPr>
        <w:spacing w:line="54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河北区退役军人事务局2024年度行政执法工作情况报告</w:t>
      </w:r>
    </w:p>
    <w:p w14:paraId="159CA450" w14:textId="77777777" w:rsidR="0040652B" w:rsidRDefault="0040652B" w:rsidP="0040652B">
      <w:pPr>
        <w:spacing w:line="540" w:lineRule="exact"/>
        <w:ind w:firstLineChars="200" w:firstLine="640"/>
        <w:jc w:val="left"/>
        <w:rPr>
          <w:rFonts w:ascii="仿宋" w:eastAsia="仿宋" w:hAnsi="仿宋" w:cs="仿宋" w:hint="eastAsia"/>
          <w:sz w:val="32"/>
          <w:szCs w:val="32"/>
        </w:rPr>
      </w:pPr>
    </w:p>
    <w:p w14:paraId="35584B5C"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2024年，区退役军人事务局在区委、区政府的</w:t>
      </w:r>
      <w:r>
        <w:rPr>
          <w:rFonts w:ascii="仿宋_GB2312" w:eastAsia="仿宋_GB2312" w:hAnsi="仿宋" w:cs="仿宋" w:hint="eastAsia"/>
          <w:sz w:val="32"/>
          <w:szCs w:val="32"/>
        </w:rPr>
        <w:t>坚强</w:t>
      </w:r>
      <w:r w:rsidRPr="00395B2E">
        <w:rPr>
          <w:rFonts w:ascii="仿宋_GB2312" w:eastAsia="仿宋_GB2312" w:hAnsi="仿宋" w:cs="仿宋" w:hint="eastAsia"/>
          <w:sz w:val="32"/>
          <w:szCs w:val="32"/>
        </w:rPr>
        <w:t>领导下，以习近平新时代中国特色社会主义思想为指导，深入学习宣传贯彻习近平法治思想，紧紧围绕年度重点工作扎实开展行政执法工作，不断提升行政执法能力，持续推进退役军人行政执法规范化建设，坚决维护退役军人合法权益。按照区司法局《关于报送2024年度行政执法工作情况报告的通知》要求，区退役军人事务局全面总结了2024年度行政执法工作，现报告如下：</w:t>
      </w:r>
    </w:p>
    <w:p w14:paraId="174FC80A" w14:textId="77777777" w:rsidR="0040652B" w:rsidRPr="00CF569E" w:rsidRDefault="0040652B" w:rsidP="0040652B">
      <w:pPr>
        <w:spacing w:line="540" w:lineRule="exact"/>
        <w:ind w:firstLineChars="200" w:firstLine="640"/>
        <w:jc w:val="left"/>
        <w:rPr>
          <w:rFonts w:ascii="黑体" w:eastAsia="黑体" w:hAnsi="黑体" w:cs="仿宋" w:hint="eastAsia"/>
          <w:sz w:val="32"/>
          <w:szCs w:val="32"/>
        </w:rPr>
      </w:pPr>
      <w:r w:rsidRPr="00CF569E">
        <w:rPr>
          <w:rFonts w:ascii="黑体" w:eastAsia="黑体" w:hAnsi="黑体" w:cs="仿宋" w:hint="eastAsia"/>
          <w:sz w:val="32"/>
          <w:szCs w:val="32"/>
        </w:rPr>
        <w:t>一、基本情况</w:t>
      </w:r>
    </w:p>
    <w:p w14:paraId="6AB9E346" w14:textId="77777777" w:rsidR="0040652B" w:rsidRPr="00CF569E" w:rsidRDefault="0040652B" w:rsidP="0040652B">
      <w:pPr>
        <w:spacing w:line="540" w:lineRule="exact"/>
        <w:ind w:firstLineChars="200" w:firstLine="640"/>
        <w:jc w:val="left"/>
        <w:rPr>
          <w:rFonts w:ascii="楷体_GB2312" w:eastAsia="楷体_GB2312" w:hAnsi="仿宋" w:cs="仿宋" w:hint="eastAsia"/>
          <w:sz w:val="32"/>
          <w:szCs w:val="32"/>
        </w:rPr>
      </w:pPr>
      <w:r w:rsidRPr="00CF569E">
        <w:rPr>
          <w:rFonts w:ascii="楷体_GB2312" w:eastAsia="楷体_GB2312" w:hAnsi="仿宋" w:cs="仿宋" w:hint="eastAsia"/>
          <w:sz w:val="32"/>
          <w:szCs w:val="32"/>
        </w:rPr>
        <w:t>（一）行政执法主体情况</w:t>
      </w:r>
    </w:p>
    <w:p w14:paraId="7850E4BE" w14:textId="380C8D72"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我单位共有行政执法人员3人，配备行政执法记录仪</w:t>
      </w:r>
      <w:r w:rsidR="00A219DE">
        <w:rPr>
          <w:rFonts w:ascii="仿宋_GB2312" w:eastAsia="仿宋_GB2312" w:hAnsi="仿宋" w:cs="仿宋" w:hint="eastAsia"/>
          <w:sz w:val="32"/>
          <w:szCs w:val="32"/>
        </w:rPr>
        <w:t>2</w:t>
      </w:r>
      <w:r w:rsidRPr="00395B2E">
        <w:rPr>
          <w:rFonts w:ascii="仿宋_GB2312" w:eastAsia="仿宋_GB2312" w:hAnsi="仿宋" w:cs="仿宋" w:hint="eastAsia"/>
          <w:sz w:val="32"/>
          <w:szCs w:val="32"/>
        </w:rPr>
        <w:t>台。主要担负全区各相关单位贯彻落实《退役士兵安置条例》情况，履行《烈士褒扬条例》相关优待义务条款，以及依据《烈士褒扬条例》《军人抚恤优待条例》对不履行安置、优待义务和违规骗取优待的处罚等职责任务。</w:t>
      </w:r>
    </w:p>
    <w:p w14:paraId="526457F1" w14:textId="77777777" w:rsidR="0040652B" w:rsidRPr="007F1C07" w:rsidRDefault="0040652B" w:rsidP="0040652B">
      <w:pPr>
        <w:spacing w:line="540" w:lineRule="exact"/>
        <w:ind w:firstLineChars="200" w:firstLine="640"/>
        <w:jc w:val="left"/>
        <w:rPr>
          <w:rFonts w:ascii="楷体_GB2312" w:eastAsia="楷体_GB2312" w:hAnsi="仿宋" w:cs="仿宋" w:hint="eastAsia"/>
          <w:sz w:val="32"/>
          <w:szCs w:val="32"/>
        </w:rPr>
      </w:pPr>
      <w:r w:rsidRPr="007F1C07">
        <w:rPr>
          <w:rFonts w:ascii="楷体_GB2312" w:eastAsia="楷体_GB2312" w:hAnsi="仿宋" w:cs="仿宋" w:hint="eastAsia"/>
          <w:sz w:val="32"/>
          <w:szCs w:val="32"/>
        </w:rPr>
        <w:t>（二）年度行政执法检查情况</w:t>
      </w:r>
    </w:p>
    <w:p w14:paraId="6E8E8965"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2023年度，依据计划安排完成对机关、企事业单位100余次行政执法检查，检查结果均为合格，且已结案；行政处罚案件数为0，罚没金额为0。已按要求上</w:t>
      </w:r>
      <w:proofErr w:type="gramStart"/>
      <w:r w:rsidRPr="00395B2E">
        <w:rPr>
          <w:rFonts w:ascii="仿宋_GB2312" w:eastAsia="仿宋_GB2312" w:hAnsi="仿宋" w:cs="仿宋" w:hint="eastAsia"/>
          <w:sz w:val="32"/>
          <w:szCs w:val="32"/>
        </w:rPr>
        <w:t>传执法</w:t>
      </w:r>
      <w:proofErr w:type="gramEnd"/>
      <w:r w:rsidRPr="00395B2E">
        <w:rPr>
          <w:rFonts w:ascii="仿宋_GB2312" w:eastAsia="仿宋_GB2312" w:hAnsi="仿宋" w:cs="仿宋" w:hint="eastAsia"/>
          <w:sz w:val="32"/>
          <w:szCs w:val="32"/>
        </w:rPr>
        <w:t>监督平台。</w:t>
      </w:r>
    </w:p>
    <w:p w14:paraId="6D39E784" w14:textId="77777777" w:rsidR="0040652B" w:rsidRPr="006F08DB" w:rsidRDefault="0040652B" w:rsidP="0040652B">
      <w:pPr>
        <w:spacing w:line="540" w:lineRule="exact"/>
        <w:ind w:firstLineChars="200" w:firstLine="640"/>
        <w:jc w:val="left"/>
        <w:rPr>
          <w:rFonts w:ascii="黑体" w:eastAsia="黑体" w:hAnsi="黑体" w:cs="仿宋" w:hint="eastAsia"/>
          <w:sz w:val="32"/>
          <w:szCs w:val="32"/>
        </w:rPr>
      </w:pPr>
      <w:r w:rsidRPr="006F08DB">
        <w:rPr>
          <w:rFonts w:ascii="黑体" w:eastAsia="黑体" w:hAnsi="黑体" w:cs="仿宋" w:hint="eastAsia"/>
          <w:sz w:val="32"/>
          <w:szCs w:val="32"/>
        </w:rPr>
        <w:t>二、主要工作措施及成效</w:t>
      </w:r>
    </w:p>
    <w:p w14:paraId="6173AEA8" w14:textId="77777777" w:rsidR="0040652B" w:rsidRPr="006F08DB" w:rsidRDefault="0040652B" w:rsidP="0040652B">
      <w:pPr>
        <w:spacing w:line="540" w:lineRule="exact"/>
        <w:ind w:firstLineChars="200" w:firstLine="640"/>
        <w:jc w:val="left"/>
        <w:rPr>
          <w:rFonts w:ascii="楷体_GB2312" w:eastAsia="楷体_GB2312" w:hAnsi="仿宋" w:cs="仿宋" w:hint="eastAsia"/>
          <w:sz w:val="32"/>
          <w:szCs w:val="32"/>
        </w:rPr>
      </w:pPr>
      <w:r w:rsidRPr="006F08DB">
        <w:rPr>
          <w:rFonts w:ascii="楷体_GB2312" w:eastAsia="楷体_GB2312" w:hAnsi="仿宋" w:cs="仿宋" w:hint="eastAsia"/>
          <w:sz w:val="32"/>
          <w:szCs w:val="32"/>
        </w:rPr>
        <w:t>（一）严格落实行政执法制度机制</w:t>
      </w:r>
    </w:p>
    <w:p w14:paraId="2E005F0A"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lastRenderedPageBreak/>
        <w:t>严格落实行政执法“三项制度”，参照适用市退役军人事务局印发的《天津市退役军人事务行政执法公示制度》《天津市退役军人事务行政执法全过程记录制度》《天津市退役军人事务重大行政执法决定法制审核制度》，明确事前事中事后公示流程、全过程记录工作要求，严格落实重大行政执法决定法制审核。组织行政执法人员深入学习相关行政执法案卷模板范例，对照持续规范行政执法程序。</w:t>
      </w:r>
    </w:p>
    <w:p w14:paraId="5F4ACDB6" w14:textId="77777777" w:rsidR="0040652B" w:rsidRPr="00C22ABC" w:rsidRDefault="0040652B" w:rsidP="0040652B">
      <w:pPr>
        <w:spacing w:line="540" w:lineRule="exact"/>
        <w:ind w:firstLineChars="200" w:firstLine="640"/>
        <w:jc w:val="left"/>
        <w:rPr>
          <w:rFonts w:ascii="楷体_GB2312" w:eastAsia="楷体_GB2312" w:hAnsi="仿宋" w:cs="仿宋" w:hint="eastAsia"/>
          <w:sz w:val="32"/>
          <w:szCs w:val="32"/>
        </w:rPr>
      </w:pPr>
      <w:r w:rsidRPr="00C22ABC">
        <w:rPr>
          <w:rFonts w:ascii="楷体_GB2312" w:eastAsia="楷体_GB2312" w:hAnsi="仿宋" w:cs="仿宋" w:hint="eastAsia"/>
          <w:sz w:val="32"/>
          <w:szCs w:val="32"/>
        </w:rPr>
        <w:t>（二）重点执法工作开展情况</w:t>
      </w:r>
    </w:p>
    <w:p w14:paraId="53C2991B"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2024年因检查结果均合格，故未实施行政处罚，尚无行政处罚普通程序案件。行刑衔接的具体数据和典型案例为0；由于退役军人事务工作的特殊性，涉企监管执法情况较少，没有相关典型案例。严格执行《天津市退役军人事务系统行政裁量权基准（试行）》。今年未收到</w:t>
      </w:r>
      <w:proofErr w:type="gramStart"/>
      <w:r w:rsidRPr="00395B2E">
        <w:rPr>
          <w:rFonts w:ascii="仿宋_GB2312" w:eastAsia="仿宋_GB2312" w:hAnsi="仿宋" w:cs="仿宋" w:hint="eastAsia"/>
          <w:sz w:val="32"/>
          <w:szCs w:val="32"/>
        </w:rPr>
        <w:t>涉行政</w:t>
      </w:r>
      <w:proofErr w:type="gramEnd"/>
      <w:r w:rsidRPr="00395B2E">
        <w:rPr>
          <w:rFonts w:ascii="仿宋_GB2312" w:eastAsia="仿宋_GB2312" w:hAnsi="仿宋" w:cs="仿宋" w:hint="eastAsia"/>
          <w:sz w:val="32"/>
          <w:szCs w:val="32"/>
        </w:rPr>
        <w:t>执法案件投诉举报。没有获得市级以上先进荣誉相关情况。</w:t>
      </w:r>
    </w:p>
    <w:p w14:paraId="6B78806A" w14:textId="77777777" w:rsidR="0040652B" w:rsidRPr="00942AB2" w:rsidRDefault="0040652B" w:rsidP="0040652B">
      <w:pPr>
        <w:spacing w:line="540" w:lineRule="exact"/>
        <w:ind w:firstLineChars="200" w:firstLine="640"/>
        <w:jc w:val="left"/>
        <w:rPr>
          <w:rFonts w:ascii="楷体_GB2312" w:eastAsia="楷体_GB2312" w:hAnsi="仿宋" w:cs="仿宋" w:hint="eastAsia"/>
          <w:sz w:val="32"/>
          <w:szCs w:val="32"/>
        </w:rPr>
      </w:pPr>
      <w:r w:rsidRPr="00942AB2">
        <w:rPr>
          <w:rFonts w:ascii="楷体_GB2312" w:eastAsia="楷体_GB2312" w:hAnsi="仿宋" w:cs="仿宋" w:hint="eastAsia"/>
          <w:sz w:val="32"/>
          <w:szCs w:val="32"/>
        </w:rPr>
        <w:t>（三）强化学习培训，提升执法水平</w:t>
      </w:r>
    </w:p>
    <w:p w14:paraId="08E35A06"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为全面提升我局执法人员综合素质，进一步规范行政执法行为，强化执法工作队伍建设，提高依法行政水平，年初制定行政执法人员年度培训计划，严格落实执法人员业务知识和法律法规培训要求，确保具备从事行政执法工作必备法治素养和法律知识。开展局内执法人员专题学习培训，重点聚焦于本系统执法领域的“典型差案”与“示范优案”，通过深入剖析案例，引导执法人员从正反两面汲取经验教训；组织学习新公布的《退役军人安置条例》《军人抚恤优待条例》《烈士褒扬条例》等法规文件，推动执法人员准确把握政策导向，规范执法</w:t>
      </w:r>
      <w:r w:rsidRPr="00395B2E">
        <w:rPr>
          <w:rFonts w:ascii="仿宋_GB2312" w:eastAsia="仿宋_GB2312" w:hAnsi="仿宋" w:cs="仿宋" w:hint="eastAsia"/>
          <w:sz w:val="32"/>
          <w:szCs w:val="32"/>
        </w:rPr>
        <w:lastRenderedPageBreak/>
        <w:t>程序，提升执法水平。鼓励行政执法人员利用工作之余加强对行政处罚法等法律法规的学习和掌握。落实国家工作人员学法用法考法工作要求，行政执法人员均通过年度公共法律知识培训考试和网上学法用法考试。认真落实“谁执法谁普法”普法责任制，在“全国退伍日”等重要时间节点，统筹利用退役军人服务中心（站）、“天津河北双拥”</w:t>
      </w:r>
      <w:proofErr w:type="gramStart"/>
      <w:r w:rsidRPr="00395B2E">
        <w:rPr>
          <w:rFonts w:ascii="仿宋_GB2312" w:eastAsia="仿宋_GB2312" w:hAnsi="仿宋" w:cs="仿宋" w:hint="eastAsia"/>
          <w:sz w:val="32"/>
          <w:szCs w:val="32"/>
        </w:rPr>
        <w:t>微信公众号</w:t>
      </w:r>
      <w:proofErr w:type="gramEnd"/>
      <w:r w:rsidRPr="00395B2E">
        <w:rPr>
          <w:rFonts w:ascii="仿宋_GB2312" w:eastAsia="仿宋_GB2312" w:hAnsi="仿宋" w:cs="仿宋" w:hint="eastAsia"/>
          <w:sz w:val="32"/>
          <w:szCs w:val="32"/>
        </w:rPr>
        <w:t>等多渠道、多形式广泛开展法治宣传工作。</w:t>
      </w:r>
    </w:p>
    <w:p w14:paraId="150140DE" w14:textId="77777777" w:rsidR="0040652B" w:rsidRPr="00633C67" w:rsidRDefault="0040652B" w:rsidP="0040652B">
      <w:pPr>
        <w:spacing w:line="540" w:lineRule="exact"/>
        <w:ind w:firstLineChars="200" w:firstLine="640"/>
        <w:jc w:val="left"/>
        <w:rPr>
          <w:rFonts w:ascii="楷体_GB2312" w:eastAsia="楷体_GB2312" w:hAnsi="仿宋" w:cs="仿宋" w:hint="eastAsia"/>
          <w:sz w:val="32"/>
          <w:szCs w:val="32"/>
        </w:rPr>
      </w:pPr>
      <w:r w:rsidRPr="00633C67">
        <w:rPr>
          <w:rFonts w:ascii="楷体_GB2312" w:eastAsia="楷体_GB2312" w:hAnsi="仿宋" w:cs="仿宋" w:hint="eastAsia"/>
          <w:sz w:val="32"/>
          <w:szCs w:val="32"/>
        </w:rPr>
        <w:t>（</w:t>
      </w:r>
      <w:r>
        <w:rPr>
          <w:rFonts w:ascii="楷体_GB2312" w:eastAsia="楷体_GB2312" w:hAnsi="仿宋" w:cs="仿宋" w:hint="eastAsia"/>
          <w:sz w:val="32"/>
          <w:szCs w:val="32"/>
        </w:rPr>
        <w:t>四</w:t>
      </w:r>
      <w:r w:rsidRPr="00633C67">
        <w:rPr>
          <w:rFonts w:ascii="楷体_GB2312" w:eastAsia="楷体_GB2312" w:hAnsi="仿宋" w:cs="仿宋" w:hint="eastAsia"/>
          <w:sz w:val="32"/>
          <w:szCs w:val="32"/>
        </w:rPr>
        <w:t>）严格执行程序，健全监督机制</w:t>
      </w:r>
    </w:p>
    <w:p w14:paraId="6C225053"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推行政务公开，增强工作透明度。在区门户网站公布办公电话、投诉电话、邮箱、传真，畅通举报投诉渠道。对退役军人及家属反映的问题做到及时反馈、认真处理、耐心回复，力争做到事事有落实，件件有回音，使退役军人满意。完善法律顾问制度建设，聘请有资质的律所律师担任法律顾问，在合同审查、重大行政执法决定等环节把关，不断提升依法行政水平。</w:t>
      </w:r>
    </w:p>
    <w:p w14:paraId="7B706B85" w14:textId="77777777" w:rsidR="0040652B" w:rsidRDefault="0040652B" w:rsidP="0040652B">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三、行政执法工作存在的问题</w:t>
      </w:r>
    </w:p>
    <w:p w14:paraId="22D9D8C3"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行政执法人员在退役军人就业安置、优抚优待等业务工作方面更加专业，但是执法人员对于与行政执法有关的法律法规和专业知识的全面系统学习还有所欠缺，对于行政处罚法、行政检查程序等掌握的还不够熟练，在一定程度上影响了执法质量。</w:t>
      </w:r>
    </w:p>
    <w:p w14:paraId="1A5D65AB" w14:textId="77777777" w:rsidR="0040652B" w:rsidRDefault="0040652B" w:rsidP="0040652B">
      <w:pPr>
        <w:spacing w:line="5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四、2025年行政执法工作规划</w:t>
      </w:r>
    </w:p>
    <w:p w14:paraId="0C1206C6"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仿宋_GB2312" w:eastAsia="仿宋_GB2312" w:hAnsi="仿宋" w:cs="仿宋" w:hint="eastAsia"/>
          <w:sz w:val="32"/>
          <w:szCs w:val="32"/>
        </w:rPr>
        <w:t>在今后工作中，我们将继续采取更加有力的措施，进一步加强行政执法工作力度，不断推进依法行政工作深入发展。主</w:t>
      </w:r>
      <w:r w:rsidRPr="00395B2E">
        <w:rPr>
          <w:rFonts w:ascii="仿宋_GB2312" w:eastAsia="仿宋_GB2312" w:hAnsi="仿宋" w:cs="仿宋" w:hint="eastAsia"/>
          <w:sz w:val="32"/>
          <w:szCs w:val="32"/>
        </w:rPr>
        <w:lastRenderedPageBreak/>
        <w:t>要做好以下工作：</w:t>
      </w:r>
    </w:p>
    <w:p w14:paraId="2A9A8F81" w14:textId="77777777" w:rsidR="0040652B" w:rsidRDefault="0040652B" w:rsidP="0040652B">
      <w:pPr>
        <w:spacing w:line="540" w:lineRule="exact"/>
        <w:ind w:firstLineChars="200" w:firstLine="640"/>
        <w:jc w:val="left"/>
        <w:rPr>
          <w:rFonts w:ascii="仿宋" w:eastAsia="仿宋" w:hAnsi="仿宋" w:cs="仿宋" w:hint="eastAsia"/>
          <w:sz w:val="32"/>
          <w:szCs w:val="32"/>
        </w:rPr>
      </w:pPr>
      <w:r w:rsidRPr="00395B2E">
        <w:rPr>
          <w:rFonts w:ascii="楷体_GB2312" w:eastAsia="楷体_GB2312" w:hAnsi="仿宋" w:cs="仿宋" w:hint="eastAsia"/>
          <w:sz w:val="32"/>
          <w:szCs w:val="32"/>
        </w:rPr>
        <w:t>（一）强化依法行政意识。</w:t>
      </w:r>
      <w:r w:rsidRPr="00395B2E">
        <w:rPr>
          <w:rFonts w:ascii="仿宋_GB2312" w:eastAsia="仿宋_GB2312" w:hAnsi="仿宋" w:cs="仿宋" w:hint="eastAsia"/>
          <w:sz w:val="32"/>
          <w:szCs w:val="32"/>
        </w:rPr>
        <w:t>坚持以习近平新时代中国特色社会主义思想为指导，深入学</w:t>
      </w:r>
      <w:proofErr w:type="gramStart"/>
      <w:r w:rsidRPr="00395B2E">
        <w:rPr>
          <w:rFonts w:ascii="仿宋_GB2312" w:eastAsia="仿宋_GB2312" w:hAnsi="仿宋" w:cs="仿宋" w:hint="eastAsia"/>
          <w:sz w:val="32"/>
          <w:szCs w:val="32"/>
        </w:rPr>
        <w:t>习习近</w:t>
      </w:r>
      <w:proofErr w:type="gramEnd"/>
      <w:r w:rsidRPr="00395B2E">
        <w:rPr>
          <w:rFonts w:ascii="仿宋_GB2312" w:eastAsia="仿宋_GB2312" w:hAnsi="仿宋" w:cs="仿宋" w:hint="eastAsia"/>
          <w:sz w:val="32"/>
          <w:szCs w:val="32"/>
        </w:rPr>
        <w:t>平法治思想，坚决贯彻落实党中央关于法治建设的重大决策部署以及市、区有关法治建设的部署安排，不断加强退役军人法治建设工作。</w:t>
      </w:r>
    </w:p>
    <w:p w14:paraId="06801CD6"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楷体_GB2312" w:eastAsia="楷体_GB2312" w:hAnsi="仿宋" w:cs="仿宋" w:hint="eastAsia"/>
          <w:sz w:val="32"/>
          <w:szCs w:val="32"/>
        </w:rPr>
        <w:t>（二）强化执法能力建设。</w:t>
      </w:r>
      <w:r w:rsidRPr="00395B2E">
        <w:rPr>
          <w:rFonts w:ascii="仿宋_GB2312" w:eastAsia="仿宋_GB2312" w:hAnsi="仿宋" w:cs="仿宋" w:hint="eastAsia"/>
          <w:sz w:val="32"/>
          <w:szCs w:val="32"/>
        </w:rPr>
        <w:t>持续加强与区司法局和市退役军人事务局沟通，深入学习掌握行政执法有关工作最新要求，确保我局依法履行行政执法法定职责，切实维护广大退役军人合法权益。</w:t>
      </w:r>
    </w:p>
    <w:p w14:paraId="7BDEF077" w14:textId="77777777" w:rsidR="0040652B" w:rsidRPr="00395B2E" w:rsidRDefault="0040652B" w:rsidP="0040652B">
      <w:pPr>
        <w:spacing w:line="540" w:lineRule="exact"/>
        <w:ind w:firstLineChars="200" w:firstLine="640"/>
        <w:jc w:val="left"/>
        <w:rPr>
          <w:rFonts w:ascii="仿宋_GB2312" w:eastAsia="仿宋_GB2312" w:hAnsi="仿宋" w:cs="仿宋" w:hint="eastAsia"/>
          <w:sz w:val="32"/>
          <w:szCs w:val="32"/>
        </w:rPr>
      </w:pPr>
      <w:r w:rsidRPr="00395B2E">
        <w:rPr>
          <w:rFonts w:ascii="楷体_GB2312" w:eastAsia="楷体_GB2312" w:hAnsi="仿宋" w:cs="仿宋" w:hint="eastAsia"/>
          <w:sz w:val="32"/>
          <w:szCs w:val="32"/>
        </w:rPr>
        <w:t>（三）强化教育培训力度。</w:t>
      </w:r>
      <w:r w:rsidRPr="00395B2E">
        <w:rPr>
          <w:rFonts w:ascii="仿宋_GB2312" w:eastAsia="仿宋_GB2312" w:hAnsi="仿宋" w:cs="仿宋" w:hint="eastAsia"/>
          <w:sz w:val="32"/>
          <w:szCs w:val="32"/>
        </w:rPr>
        <w:t>加强退役军人保障法等法律法规的学习和培训。持续加强执法人员的业务培训，通过法律知识讲座、座谈讨论等形式定期组织行政执法人员进行公共法律知识培训，有针对性的学习与行政处罚、行政检查有关的法律法规。</w:t>
      </w:r>
    </w:p>
    <w:p w14:paraId="32BC044F" w14:textId="77777777" w:rsidR="0040652B" w:rsidRDefault="0040652B" w:rsidP="0040652B">
      <w:pPr>
        <w:spacing w:line="540" w:lineRule="exact"/>
      </w:pPr>
    </w:p>
    <w:p w14:paraId="71FE26EF" w14:textId="77777777" w:rsidR="0040652B" w:rsidRDefault="0040652B" w:rsidP="0040652B">
      <w:pPr>
        <w:spacing w:line="540" w:lineRule="exact"/>
      </w:pPr>
    </w:p>
    <w:p w14:paraId="3E288FAB" w14:textId="77777777" w:rsidR="0040652B" w:rsidRDefault="0040652B" w:rsidP="0040652B">
      <w:pPr>
        <w:spacing w:line="540" w:lineRule="exact"/>
      </w:pPr>
    </w:p>
    <w:p w14:paraId="351C5BE1" w14:textId="77777777" w:rsidR="0040652B" w:rsidRPr="00395B2E" w:rsidRDefault="0040652B" w:rsidP="0040652B">
      <w:pPr>
        <w:wordWrap w:val="0"/>
        <w:spacing w:line="540" w:lineRule="exact"/>
        <w:jc w:val="right"/>
        <w:rPr>
          <w:rFonts w:ascii="仿宋_GB2312" w:eastAsia="仿宋_GB2312" w:hAnsi="仿宋" w:cs="仿宋" w:hint="eastAsia"/>
          <w:sz w:val="32"/>
          <w:szCs w:val="32"/>
        </w:rPr>
      </w:pPr>
      <w:r w:rsidRPr="00395B2E">
        <w:rPr>
          <w:rFonts w:ascii="仿宋_GB2312" w:eastAsia="仿宋_GB2312" w:hAnsi="仿宋" w:cs="仿宋" w:hint="eastAsia"/>
          <w:sz w:val="32"/>
          <w:szCs w:val="32"/>
        </w:rPr>
        <w:t>河北区退役军人事务局</w:t>
      </w:r>
      <w:r>
        <w:rPr>
          <w:rFonts w:ascii="仿宋_GB2312" w:eastAsia="仿宋_GB2312" w:hAnsi="仿宋" w:cs="仿宋" w:hint="eastAsia"/>
          <w:sz w:val="32"/>
          <w:szCs w:val="32"/>
        </w:rPr>
        <w:t xml:space="preserve">      </w:t>
      </w:r>
    </w:p>
    <w:p w14:paraId="1BFD8887" w14:textId="77777777" w:rsidR="0040652B" w:rsidRPr="00395B2E" w:rsidRDefault="0040652B" w:rsidP="0040652B">
      <w:pPr>
        <w:wordWrap w:val="0"/>
        <w:spacing w:line="540" w:lineRule="exact"/>
        <w:jc w:val="right"/>
        <w:rPr>
          <w:rFonts w:ascii="仿宋_GB2312" w:eastAsia="仿宋_GB2312" w:hAnsi="仿宋" w:cs="仿宋" w:hint="eastAsia"/>
          <w:sz w:val="32"/>
          <w:szCs w:val="32"/>
        </w:rPr>
      </w:pPr>
      <w:r w:rsidRPr="00395B2E">
        <w:rPr>
          <w:rFonts w:ascii="仿宋_GB2312" w:eastAsia="仿宋_GB2312" w:hAnsi="仿宋" w:cs="仿宋" w:hint="eastAsia"/>
          <w:sz w:val="32"/>
          <w:szCs w:val="32"/>
        </w:rPr>
        <w:t>2024年12月</w:t>
      </w:r>
      <w:r>
        <w:rPr>
          <w:rFonts w:ascii="仿宋_GB2312" w:eastAsia="仿宋_GB2312" w:hAnsi="仿宋" w:cs="仿宋" w:hint="eastAsia"/>
          <w:sz w:val="32"/>
          <w:szCs w:val="32"/>
        </w:rPr>
        <w:t>20</w:t>
      </w:r>
      <w:r w:rsidRPr="00395B2E">
        <w:rPr>
          <w:rFonts w:ascii="仿宋_GB2312" w:eastAsia="仿宋_GB2312" w:hAnsi="仿宋" w:cs="仿宋" w:hint="eastAsia"/>
          <w:sz w:val="32"/>
          <w:szCs w:val="32"/>
        </w:rPr>
        <w:t>日</w:t>
      </w:r>
      <w:r>
        <w:rPr>
          <w:rFonts w:ascii="仿宋_GB2312" w:eastAsia="仿宋_GB2312" w:hAnsi="仿宋" w:cs="仿宋" w:hint="eastAsia"/>
          <w:sz w:val="32"/>
          <w:szCs w:val="32"/>
        </w:rPr>
        <w:t xml:space="preserve">        </w:t>
      </w:r>
    </w:p>
    <w:p w14:paraId="648E98B0" w14:textId="6EC97536" w:rsidR="00667A00" w:rsidRPr="0040652B" w:rsidRDefault="00667A00" w:rsidP="0040652B"/>
    <w:sectPr w:rsidR="00667A00" w:rsidRPr="0040652B">
      <w:footerReference w:type="even" r:id="rId8"/>
      <w:footerReference w:type="default" r:id="rId9"/>
      <w:pgSz w:w="11906" w:h="16838"/>
      <w:pgMar w:top="2041" w:right="1474" w:bottom="1701" w:left="1588"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3F7DB" w14:textId="77777777" w:rsidR="00472001" w:rsidRDefault="00472001">
      <w:r>
        <w:separator/>
      </w:r>
    </w:p>
  </w:endnote>
  <w:endnote w:type="continuationSeparator" w:id="0">
    <w:p w14:paraId="4E3D49D5" w14:textId="77777777" w:rsidR="00472001" w:rsidRDefault="0047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50091"/>
    </w:sdtPr>
    <w:sdtContent>
      <w:p w14:paraId="23B37E56" w14:textId="77777777" w:rsidR="00965950" w:rsidRDefault="00000000">
        <w:pPr>
          <w:pStyle w:val="a3"/>
          <w:rPr>
            <w:rFonts w:hint="eastAsia"/>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38025EF7" w14:textId="77777777" w:rsidR="00965950" w:rsidRDefault="00965950">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564580"/>
    </w:sdtPr>
    <w:sdtContent>
      <w:p w14:paraId="3FAB9A10" w14:textId="77777777" w:rsidR="00965950" w:rsidRDefault="00000000">
        <w:pPr>
          <w:pStyle w:val="a3"/>
          <w:jc w:val="right"/>
          <w:rPr>
            <w:rFonts w:hint="eastAsia"/>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35423147" w14:textId="77777777" w:rsidR="00965950" w:rsidRDefault="0096595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0F95" w14:textId="77777777" w:rsidR="00472001" w:rsidRDefault="00472001">
      <w:r>
        <w:separator/>
      </w:r>
    </w:p>
  </w:footnote>
  <w:footnote w:type="continuationSeparator" w:id="0">
    <w:p w14:paraId="42090A10" w14:textId="77777777" w:rsidR="00472001" w:rsidRDefault="0047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66A0C"/>
    <w:multiLevelType w:val="singleLevel"/>
    <w:tmpl w:val="FEC66A0C"/>
    <w:lvl w:ilvl="0">
      <w:start w:val="3"/>
      <w:numFmt w:val="chineseCounting"/>
      <w:suff w:val="nothing"/>
      <w:lvlText w:val="（%1）"/>
      <w:lvlJc w:val="left"/>
      <w:rPr>
        <w:rFonts w:hint="eastAsia"/>
      </w:rPr>
    </w:lvl>
  </w:abstractNum>
  <w:num w:numId="1" w16cid:durableId="129547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A7"/>
    <w:rsid w:val="EBEF226F"/>
    <w:rsid w:val="FC1F0BA1"/>
    <w:rsid w:val="FEFF6644"/>
    <w:rsid w:val="FFFD26E1"/>
    <w:rsid w:val="00057CA0"/>
    <w:rsid w:val="00117EE9"/>
    <w:rsid w:val="001741EA"/>
    <w:rsid w:val="00174683"/>
    <w:rsid w:val="0023137E"/>
    <w:rsid w:val="00236437"/>
    <w:rsid w:val="00263FE1"/>
    <w:rsid w:val="00266CE3"/>
    <w:rsid w:val="0029245C"/>
    <w:rsid w:val="00300AF2"/>
    <w:rsid w:val="00333D08"/>
    <w:rsid w:val="00344E78"/>
    <w:rsid w:val="0040652B"/>
    <w:rsid w:val="0041124C"/>
    <w:rsid w:val="004142DA"/>
    <w:rsid w:val="0041477C"/>
    <w:rsid w:val="004459B3"/>
    <w:rsid w:val="00472001"/>
    <w:rsid w:val="00477281"/>
    <w:rsid w:val="00495245"/>
    <w:rsid w:val="004A7867"/>
    <w:rsid w:val="004F128F"/>
    <w:rsid w:val="005708C2"/>
    <w:rsid w:val="005E326F"/>
    <w:rsid w:val="006040BC"/>
    <w:rsid w:val="00635C51"/>
    <w:rsid w:val="00636C48"/>
    <w:rsid w:val="006500F2"/>
    <w:rsid w:val="00667A00"/>
    <w:rsid w:val="006B7759"/>
    <w:rsid w:val="006C0F92"/>
    <w:rsid w:val="006C1A08"/>
    <w:rsid w:val="00713D86"/>
    <w:rsid w:val="00752C10"/>
    <w:rsid w:val="007604D7"/>
    <w:rsid w:val="00763AA7"/>
    <w:rsid w:val="00785C93"/>
    <w:rsid w:val="007D21A9"/>
    <w:rsid w:val="007F50A0"/>
    <w:rsid w:val="0083733D"/>
    <w:rsid w:val="008647D1"/>
    <w:rsid w:val="008858AA"/>
    <w:rsid w:val="008919BC"/>
    <w:rsid w:val="008A7563"/>
    <w:rsid w:val="008B01C4"/>
    <w:rsid w:val="008C0F64"/>
    <w:rsid w:val="008E538D"/>
    <w:rsid w:val="008E6CB8"/>
    <w:rsid w:val="008F1BE4"/>
    <w:rsid w:val="0093262D"/>
    <w:rsid w:val="009609C2"/>
    <w:rsid w:val="00965950"/>
    <w:rsid w:val="00982A02"/>
    <w:rsid w:val="00983F2B"/>
    <w:rsid w:val="009840F5"/>
    <w:rsid w:val="009B6B5C"/>
    <w:rsid w:val="009C7FBC"/>
    <w:rsid w:val="009D3D8D"/>
    <w:rsid w:val="00A219DE"/>
    <w:rsid w:val="00A5077C"/>
    <w:rsid w:val="00A85910"/>
    <w:rsid w:val="00A8657F"/>
    <w:rsid w:val="00AA1147"/>
    <w:rsid w:val="00AE6889"/>
    <w:rsid w:val="00B37303"/>
    <w:rsid w:val="00B77622"/>
    <w:rsid w:val="00B77A7C"/>
    <w:rsid w:val="00B90AA9"/>
    <w:rsid w:val="00BB656B"/>
    <w:rsid w:val="00BD3242"/>
    <w:rsid w:val="00C71EDA"/>
    <w:rsid w:val="00CA1588"/>
    <w:rsid w:val="00CC14A1"/>
    <w:rsid w:val="00CE47E9"/>
    <w:rsid w:val="00D67306"/>
    <w:rsid w:val="00D76462"/>
    <w:rsid w:val="00E457F7"/>
    <w:rsid w:val="00E45AAC"/>
    <w:rsid w:val="00E66DE2"/>
    <w:rsid w:val="00E92445"/>
    <w:rsid w:val="00EB444A"/>
    <w:rsid w:val="00EB751E"/>
    <w:rsid w:val="00F914D8"/>
    <w:rsid w:val="00FA38FA"/>
    <w:rsid w:val="00FA593B"/>
    <w:rsid w:val="00FA5F01"/>
    <w:rsid w:val="00FC2548"/>
    <w:rsid w:val="4BFFC442"/>
    <w:rsid w:val="5BFF9E44"/>
    <w:rsid w:val="77DF48A6"/>
    <w:rsid w:val="7D3FC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D431"/>
  <w15:docId w15:val="{DDCFEB95-23CA-4C8C-B97C-3DFF7CBF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52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31630">
      <w:bodyDiv w:val="1"/>
      <w:marLeft w:val="0"/>
      <w:marRight w:val="0"/>
      <w:marTop w:val="0"/>
      <w:marBottom w:val="0"/>
      <w:divBdr>
        <w:top w:val="none" w:sz="0" w:space="0" w:color="auto"/>
        <w:left w:val="none" w:sz="0" w:space="0" w:color="auto"/>
        <w:bottom w:val="none" w:sz="0" w:space="0" w:color="auto"/>
        <w:right w:val="none" w:sz="0" w:space="0" w:color="auto"/>
      </w:divBdr>
    </w:div>
    <w:div w:id="562373303">
      <w:bodyDiv w:val="1"/>
      <w:marLeft w:val="0"/>
      <w:marRight w:val="0"/>
      <w:marTop w:val="0"/>
      <w:marBottom w:val="0"/>
      <w:divBdr>
        <w:top w:val="none" w:sz="0" w:space="0" w:color="auto"/>
        <w:left w:val="none" w:sz="0" w:space="0" w:color="auto"/>
        <w:bottom w:val="none" w:sz="0" w:space="0" w:color="auto"/>
        <w:right w:val="none" w:sz="0" w:space="0" w:color="auto"/>
      </w:divBdr>
    </w:div>
    <w:div w:id="775709028">
      <w:bodyDiv w:val="1"/>
      <w:marLeft w:val="0"/>
      <w:marRight w:val="0"/>
      <w:marTop w:val="0"/>
      <w:marBottom w:val="0"/>
      <w:divBdr>
        <w:top w:val="none" w:sz="0" w:space="0" w:color="auto"/>
        <w:left w:val="none" w:sz="0" w:space="0" w:color="auto"/>
        <w:bottom w:val="none" w:sz="0" w:space="0" w:color="auto"/>
        <w:right w:val="none" w:sz="0" w:space="0" w:color="auto"/>
      </w:divBdr>
    </w:div>
    <w:div w:id="777605611">
      <w:bodyDiv w:val="1"/>
      <w:marLeft w:val="0"/>
      <w:marRight w:val="0"/>
      <w:marTop w:val="0"/>
      <w:marBottom w:val="0"/>
      <w:divBdr>
        <w:top w:val="none" w:sz="0" w:space="0" w:color="auto"/>
        <w:left w:val="none" w:sz="0" w:space="0" w:color="auto"/>
        <w:bottom w:val="none" w:sz="0" w:space="0" w:color="auto"/>
        <w:right w:val="none" w:sz="0" w:space="0" w:color="auto"/>
      </w:divBdr>
    </w:div>
    <w:div w:id="805388590">
      <w:bodyDiv w:val="1"/>
      <w:marLeft w:val="0"/>
      <w:marRight w:val="0"/>
      <w:marTop w:val="0"/>
      <w:marBottom w:val="0"/>
      <w:divBdr>
        <w:top w:val="none" w:sz="0" w:space="0" w:color="auto"/>
        <w:left w:val="none" w:sz="0" w:space="0" w:color="auto"/>
        <w:bottom w:val="none" w:sz="0" w:space="0" w:color="auto"/>
        <w:right w:val="none" w:sz="0" w:space="0" w:color="auto"/>
      </w:divBdr>
    </w:div>
    <w:div w:id="1081759741">
      <w:bodyDiv w:val="1"/>
      <w:marLeft w:val="0"/>
      <w:marRight w:val="0"/>
      <w:marTop w:val="0"/>
      <w:marBottom w:val="0"/>
      <w:divBdr>
        <w:top w:val="none" w:sz="0" w:space="0" w:color="auto"/>
        <w:left w:val="none" w:sz="0" w:space="0" w:color="auto"/>
        <w:bottom w:val="none" w:sz="0" w:space="0" w:color="auto"/>
        <w:right w:val="none" w:sz="0" w:space="0" w:color="auto"/>
      </w:divBdr>
    </w:div>
    <w:div w:id="1256094320">
      <w:bodyDiv w:val="1"/>
      <w:marLeft w:val="0"/>
      <w:marRight w:val="0"/>
      <w:marTop w:val="0"/>
      <w:marBottom w:val="0"/>
      <w:divBdr>
        <w:top w:val="none" w:sz="0" w:space="0" w:color="auto"/>
        <w:left w:val="none" w:sz="0" w:space="0" w:color="auto"/>
        <w:bottom w:val="none" w:sz="0" w:space="0" w:color="auto"/>
        <w:right w:val="none" w:sz="0" w:space="0" w:color="auto"/>
      </w:divBdr>
    </w:div>
    <w:div w:id="214480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 尚</dc:creator>
  <cp:lastModifiedBy>尚 尚</cp:lastModifiedBy>
  <cp:revision>20</cp:revision>
  <cp:lastPrinted>2024-11-22T16:01:00Z</cp:lastPrinted>
  <dcterms:created xsi:type="dcterms:W3CDTF">2024-11-29T06:21:00Z</dcterms:created>
  <dcterms:modified xsi:type="dcterms:W3CDTF">2024-12-19T03:25:00Z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