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52" w:rsidRDefault="00BE4F4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 xml:space="preserve">  </w:t>
      </w:r>
    </w:p>
    <w:p w:rsidR="00255A52" w:rsidRDefault="00255A5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55A52" w:rsidRDefault="00255A5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55A52" w:rsidRDefault="00255A5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55A52" w:rsidRDefault="00255A5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55A52" w:rsidRDefault="00255A5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55A52" w:rsidRDefault="00BE4F49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255A52" w:rsidRDefault="00255A5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255A52" w:rsidRDefault="00BE4F49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天津市河北区统计局</w:t>
      </w:r>
    </w:p>
    <w:p w:rsidR="00255A52" w:rsidRDefault="00BE4F49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</w:t>
      </w:r>
      <w:r>
        <w:rPr>
          <w:rFonts w:ascii="黑体" w:eastAsia="黑体" w:hAnsi="黑体" w:cs="黑体" w:hint="eastAsia"/>
          <w:sz w:val="48"/>
          <w:szCs w:val="48"/>
        </w:rPr>
        <w:t>4</w:t>
      </w:r>
      <w:r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255A52" w:rsidRDefault="00255A52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255A52" w:rsidRDefault="00255A52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255A52" w:rsidRDefault="00255A5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55A52" w:rsidRDefault="00255A5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55A52" w:rsidRDefault="00255A5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55A52" w:rsidRDefault="00255A5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55A52" w:rsidRDefault="00255A5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55A52" w:rsidRDefault="00255A5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55A52" w:rsidRDefault="00255A5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55A52" w:rsidRDefault="00255A5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55A52" w:rsidRDefault="00255A52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55A52" w:rsidRDefault="00255A52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255A52" w:rsidRDefault="00BE4F49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255A52" w:rsidRDefault="00255A52">
      <w:pPr>
        <w:spacing w:line="600" w:lineRule="exact"/>
        <w:rPr>
          <w:rFonts w:ascii="黑体" w:eastAsia="黑体"/>
          <w:sz w:val="30"/>
          <w:szCs w:val="30"/>
        </w:rPr>
      </w:pPr>
    </w:p>
    <w:p w:rsidR="00255A52" w:rsidRDefault="00BE4F49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况</w:t>
      </w:r>
      <w:proofErr w:type="gramEnd"/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255A52" w:rsidRDefault="00BE4F49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第二部分</w:t>
      </w:r>
      <w:r>
        <w:rPr>
          <w:rFonts w:ascii="仿宋_GB2312" w:eastAsia="仿宋_GB2312" w:hint="eastAsia"/>
          <w:b/>
          <w:sz w:val="30"/>
          <w:szCs w:val="30"/>
        </w:rPr>
        <w:t xml:space="preserve">  202</w:t>
      </w:r>
      <w:r>
        <w:rPr>
          <w:rFonts w:ascii="仿宋_GB2312" w:eastAsia="仿宋_GB2312" w:hint="eastAsia"/>
          <w:b/>
          <w:sz w:val="30"/>
          <w:szCs w:val="30"/>
        </w:rPr>
        <w:t>4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255A52" w:rsidRDefault="00BE4F49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名词解释</w:t>
      </w:r>
    </w:p>
    <w:p w:rsidR="00255A52" w:rsidRDefault="00BE4F49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第四部分</w:t>
      </w:r>
      <w:r>
        <w:rPr>
          <w:rFonts w:ascii="仿宋_GB2312" w:eastAsia="仿宋_GB2312" w:hint="eastAsia"/>
          <w:b/>
          <w:sz w:val="30"/>
          <w:szCs w:val="30"/>
        </w:rPr>
        <w:t xml:space="preserve">  20</w:t>
      </w:r>
      <w:r>
        <w:rPr>
          <w:rFonts w:ascii="仿宋_GB2312" w:eastAsia="仿宋_GB2312" w:hint="eastAsia"/>
          <w:b/>
          <w:sz w:val="30"/>
          <w:szCs w:val="30"/>
        </w:rPr>
        <w:t>24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五、一般公共预算支出情况表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255A52" w:rsidRDefault="00BE4F49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255A52" w:rsidRDefault="00BE4F49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fldChar w:fldCharType="begin"/>
      </w:r>
      <w:r>
        <w:rPr>
          <w:rFonts w:ascii="仿宋_GB2312" w:eastAsia="仿宋_GB2312"/>
          <w:b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/>
          <w:b/>
          <w:sz w:val="30"/>
          <w:szCs w:val="30"/>
        </w:rPr>
        <w:instrText xml:space="preserve"> </w:instrText>
      </w:r>
      <w:r>
        <w:rPr>
          <w:rFonts w:ascii="仿宋_GB2312" w:eastAsia="仿宋_GB2312"/>
          <w:b/>
          <w:sz w:val="30"/>
          <w:szCs w:val="30"/>
        </w:rPr>
        <w:fldChar w:fldCharType="separate"/>
      </w:r>
    </w:p>
    <w:p w:rsidR="00255A52" w:rsidRDefault="00BE4F49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255A52" w:rsidRDefault="00255A5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55A52" w:rsidRDefault="00255A5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55A52" w:rsidRDefault="00255A5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55A52" w:rsidRDefault="00255A5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55A52" w:rsidRDefault="00255A5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55A52" w:rsidRDefault="00255A5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55A52" w:rsidRDefault="00255A5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55A52" w:rsidRDefault="00255A5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55A52" w:rsidRDefault="00255A5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255A52" w:rsidRDefault="00255A52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255A52" w:rsidRDefault="00255A52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255A52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255A52" w:rsidRDefault="00BE4F49">
      <w:pPr>
        <w:pStyle w:val="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0" w:name="_Toc78784554"/>
      <w:r>
        <w:rPr>
          <w:rFonts w:ascii="黑体" w:eastAsia="黑体" w:hAnsi="黑体" w:cs="黑体" w:hint="eastAsia"/>
          <w:b w:val="0"/>
        </w:rPr>
        <w:lastRenderedPageBreak/>
        <w:t>第一部分</w:t>
      </w:r>
      <w:r>
        <w:rPr>
          <w:rFonts w:ascii="黑体" w:eastAsia="黑体" w:hAnsi="黑体" w:cs="黑体" w:hint="eastAsia"/>
          <w:b w:val="0"/>
        </w:rPr>
        <w:t xml:space="preserve">  </w:t>
      </w:r>
      <w:r>
        <w:rPr>
          <w:rFonts w:ascii="黑体" w:eastAsia="黑体" w:hAnsi="黑体" w:cs="黑体" w:hint="eastAsia"/>
          <w:b w:val="0"/>
        </w:rPr>
        <w:t>概</w:t>
      </w:r>
      <w:r>
        <w:rPr>
          <w:rFonts w:ascii="黑体" w:eastAsia="黑体" w:hAnsi="黑体" w:cs="黑体" w:hint="eastAsia"/>
          <w:b w:val="0"/>
        </w:rPr>
        <w:t xml:space="preserve"> </w:t>
      </w:r>
      <w:proofErr w:type="gramStart"/>
      <w:r>
        <w:rPr>
          <w:rFonts w:ascii="黑体" w:eastAsia="黑体" w:hAnsi="黑体" w:cs="黑体" w:hint="eastAsia"/>
          <w:b w:val="0"/>
        </w:rPr>
        <w:t>况</w:t>
      </w:r>
      <w:bookmarkEnd w:id="0"/>
      <w:proofErr w:type="gramEnd"/>
    </w:p>
    <w:p w:rsidR="00255A52" w:rsidRDefault="00255A52">
      <w:pPr>
        <w:spacing w:line="600" w:lineRule="exact"/>
      </w:pPr>
    </w:p>
    <w:p w:rsidR="00255A52" w:rsidRDefault="00BE4F49" w:rsidP="00BE4F49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1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1"/>
    </w:p>
    <w:p w:rsidR="00255A52" w:rsidRDefault="00BE4F49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bookmarkStart w:id="2" w:name="_Toc78784556"/>
      <w:r>
        <w:rPr>
          <w:rFonts w:ascii="仿宋_GB2312" w:eastAsia="仿宋_GB2312" w:hint="eastAsia"/>
          <w:sz w:val="30"/>
          <w:szCs w:val="30"/>
        </w:rPr>
        <w:t>贯彻执行国家统计法律、法规，开展经常性的统计执法检查，依法处理各类统计违纪、违法行为案件；按照国家和市区政府的部署，组织、协调有关部门完成全区性重大国情国力、市情市力普查任务；负责全区统计报表的管理工作，对全区重点经济指标的统计监测工作。</w:t>
      </w:r>
    </w:p>
    <w:p w:rsidR="00255A52" w:rsidRDefault="00BE4F49" w:rsidP="00BE4F49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2"/>
      <w:r>
        <w:rPr>
          <w:rFonts w:ascii="黑体" w:eastAsia="黑体" w:hAnsi="黑体" w:hint="eastAsia"/>
          <w:sz w:val="30"/>
          <w:szCs w:val="30"/>
        </w:rPr>
        <w:t>情况</w:t>
      </w:r>
    </w:p>
    <w:p w:rsidR="00255A52" w:rsidRDefault="00BE4F49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天津市河北区统计局内设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个预算单位。</w:t>
      </w:r>
    </w:p>
    <w:p w:rsidR="00255A52" w:rsidRDefault="00BE4F49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纳入天津市河北区统计局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255A52" w:rsidRDefault="00BE4F49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 w:rsidR="00255A52"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天津市河北区统计局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本级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天津市河北区统计局普查中心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</w:p>
    <w:p w:rsidR="00255A52" w:rsidRDefault="00BE4F49">
      <w:pPr>
        <w:pStyle w:val="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3" w:name="_Toc78784570"/>
      <w:r>
        <w:rPr>
          <w:rFonts w:ascii="黑体" w:eastAsia="黑体" w:hAnsi="黑体" w:cs="黑体" w:hint="eastAsia"/>
        </w:rPr>
        <w:lastRenderedPageBreak/>
        <w:t>第二部分</w:t>
      </w:r>
      <w:r>
        <w:rPr>
          <w:rFonts w:ascii="黑体" w:eastAsia="黑体" w:hAnsi="黑体" w:cs="黑体" w:hint="eastAsia"/>
        </w:rPr>
        <w:t xml:space="preserve">  20</w:t>
      </w:r>
      <w:r>
        <w:rPr>
          <w:rFonts w:ascii="黑体" w:eastAsia="黑体" w:hAnsi="黑体" w:cs="黑体" w:hint="eastAsia"/>
        </w:rPr>
        <w:t>24</w:t>
      </w:r>
      <w:r>
        <w:rPr>
          <w:rFonts w:ascii="黑体" w:eastAsia="黑体" w:hAnsi="黑体" w:cs="黑体" w:hint="eastAsia"/>
        </w:rPr>
        <w:t>年部门预算情况说明</w:t>
      </w:r>
      <w:bookmarkEnd w:id="3"/>
    </w:p>
    <w:p w:rsidR="00255A52" w:rsidRDefault="00BE4F49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4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4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255A52" w:rsidRDefault="00BE4F4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按照综合预算的原则，天津市河北区统计局所有收入和支出均纳入部门预算管理。收入包括：一般公共预算拨款收入</w:t>
      </w:r>
      <w:r>
        <w:rPr>
          <w:rFonts w:ascii="仿宋_GB2312" w:eastAsia="仿宋_GB2312" w:hint="eastAsia"/>
          <w:sz w:val="30"/>
          <w:szCs w:val="30"/>
        </w:rPr>
        <w:t>6,931,099.00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元、财政专户管理资金收入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元、事业单位经营收入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元、其他收入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元、上年结转结余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元；支出包括：一般公共服务支出</w:t>
      </w:r>
      <w:r>
        <w:rPr>
          <w:rFonts w:ascii="仿宋_GB2312" w:eastAsia="仿宋_GB2312" w:hint="eastAsia"/>
          <w:sz w:val="30"/>
          <w:szCs w:val="30"/>
        </w:rPr>
        <w:t>5,976,431.00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693,900.00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260,768.00</w:t>
      </w:r>
      <w:r>
        <w:rPr>
          <w:rFonts w:ascii="仿宋_GB2312" w:eastAsia="仿宋_GB2312" w:hint="eastAsia"/>
          <w:sz w:val="30"/>
          <w:szCs w:val="30"/>
        </w:rPr>
        <w:t>元。天津</w:t>
      </w:r>
      <w:r>
        <w:rPr>
          <w:rFonts w:ascii="仿宋_GB2312" w:eastAsia="仿宋_GB2312" w:hint="eastAsia"/>
          <w:sz w:val="30"/>
          <w:szCs w:val="30"/>
        </w:rPr>
        <w:t>市河北区统计局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年收支总预算</w:t>
      </w:r>
      <w:r>
        <w:rPr>
          <w:rFonts w:ascii="仿宋_GB2312" w:eastAsia="仿宋_GB2312" w:hint="eastAsia"/>
          <w:sz w:val="30"/>
          <w:szCs w:val="30"/>
        </w:rPr>
        <w:t>6,931,099.00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255A52" w:rsidRDefault="00BE4F49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5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5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255A52" w:rsidRDefault="00BE4F4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天津市河北区统计局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年部门预算收入</w:t>
      </w:r>
      <w:r>
        <w:rPr>
          <w:rFonts w:ascii="仿宋_GB2312" w:eastAsia="仿宋_GB2312" w:hint="eastAsia"/>
          <w:sz w:val="30"/>
          <w:szCs w:val="30"/>
        </w:rPr>
        <w:t>6,931,099.00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381,083.00</w:t>
      </w:r>
      <w:r>
        <w:rPr>
          <w:rFonts w:ascii="仿宋_GB2312" w:eastAsia="仿宋_GB2312" w:hint="eastAsia"/>
          <w:sz w:val="30"/>
          <w:szCs w:val="30"/>
        </w:rPr>
        <w:t>元，主要原因是项目预算增加。其中：上年结转结余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；一般公共预算</w:t>
      </w:r>
      <w:r>
        <w:rPr>
          <w:rFonts w:ascii="仿宋_GB2312" w:eastAsia="仿宋_GB2312" w:hint="eastAsia"/>
          <w:sz w:val="30"/>
          <w:szCs w:val="30"/>
        </w:rPr>
        <w:t>6,931,099.00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100.00%</w:t>
      </w:r>
      <w:r>
        <w:rPr>
          <w:rFonts w:ascii="仿宋_GB2312" w:eastAsia="仿宋_GB2312" w:hint="eastAsia"/>
          <w:sz w:val="30"/>
          <w:szCs w:val="30"/>
        </w:rPr>
        <w:t>；政府性基金预算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；国有资本经营预算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；财政专户管理资金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；事业单位经营收入</w:t>
      </w:r>
      <w:r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lastRenderedPageBreak/>
        <w:t>0.00%</w:t>
      </w:r>
      <w:r>
        <w:rPr>
          <w:rFonts w:ascii="仿宋_GB2312" w:eastAsia="仿宋_GB2312" w:hint="eastAsia"/>
          <w:sz w:val="30"/>
          <w:szCs w:val="30"/>
        </w:rPr>
        <w:t>；其他收入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55A52" w:rsidRDefault="00BE4F49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255A52" w:rsidRDefault="00BE4F4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7" w:name="_Toc78784574"/>
      <w:r>
        <w:rPr>
          <w:rFonts w:ascii="仿宋_GB2312" w:eastAsia="仿宋_GB2312" w:hint="eastAsia"/>
          <w:sz w:val="30"/>
          <w:szCs w:val="30"/>
        </w:rPr>
        <w:t>天津市河北区统计局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年支出预算</w:t>
      </w:r>
      <w:r>
        <w:rPr>
          <w:rFonts w:ascii="仿宋_GB2312" w:eastAsia="仿宋_GB2312" w:hint="eastAsia"/>
          <w:sz w:val="30"/>
          <w:szCs w:val="30"/>
        </w:rPr>
        <w:t>6,931,099.00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381,083.00</w:t>
      </w:r>
      <w:r>
        <w:rPr>
          <w:rFonts w:ascii="仿宋_GB2312" w:eastAsia="仿宋_GB2312" w:hint="eastAsia"/>
          <w:sz w:val="30"/>
          <w:szCs w:val="30"/>
        </w:rPr>
        <w:t>元，主要原因是项目预算增加。其中：基本支出</w:t>
      </w:r>
      <w:r>
        <w:rPr>
          <w:rFonts w:ascii="仿宋_GB2312" w:eastAsia="仿宋_GB2312" w:hint="eastAsia"/>
          <w:sz w:val="30"/>
          <w:szCs w:val="30"/>
        </w:rPr>
        <w:t>6,084,602.00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87.79%</w:t>
      </w:r>
      <w:r>
        <w:rPr>
          <w:rFonts w:ascii="仿宋_GB2312" w:eastAsia="仿宋_GB2312" w:hint="eastAsia"/>
          <w:sz w:val="30"/>
          <w:szCs w:val="30"/>
        </w:rPr>
        <w:t>；项目支出</w:t>
      </w:r>
      <w:r>
        <w:rPr>
          <w:rFonts w:ascii="仿宋_GB2312" w:eastAsia="仿宋_GB2312" w:hint="eastAsia"/>
          <w:sz w:val="30"/>
          <w:szCs w:val="30"/>
        </w:rPr>
        <w:t>846,497.00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12.21%</w:t>
      </w:r>
      <w:r>
        <w:rPr>
          <w:rFonts w:ascii="仿宋_GB2312" w:eastAsia="仿宋_GB2312" w:hint="eastAsia"/>
          <w:sz w:val="30"/>
          <w:szCs w:val="30"/>
        </w:rPr>
        <w:t>；事业单位经营支出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；上缴上级支出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；对附属单位补助支出</w:t>
      </w:r>
      <w:r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55A52" w:rsidRDefault="00BE4F49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255A52" w:rsidRDefault="00BE4F4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8" w:name="_Toc78784575"/>
      <w:r>
        <w:rPr>
          <w:rFonts w:ascii="仿宋_GB2312" w:eastAsia="仿宋_GB2312" w:hint="eastAsia"/>
          <w:sz w:val="30"/>
          <w:szCs w:val="30"/>
        </w:rPr>
        <w:t>天津市河北区统计局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年财政拨款收入预算</w:t>
      </w:r>
      <w:r>
        <w:rPr>
          <w:rFonts w:ascii="仿宋_GB2312" w:eastAsia="仿宋_GB2312" w:hint="eastAsia"/>
          <w:sz w:val="30"/>
          <w:szCs w:val="30"/>
        </w:rPr>
        <w:t>6,931,099.00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381,083.00</w:t>
      </w:r>
      <w:r>
        <w:rPr>
          <w:rFonts w:ascii="仿宋_GB2312" w:eastAsia="仿宋_GB2312" w:hint="eastAsia"/>
          <w:sz w:val="30"/>
          <w:szCs w:val="30"/>
        </w:rPr>
        <w:t>元，主要原因是项目预算增加。收入包括：一般公共预算拨款收入</w:t>
      </w:r>
      <w:r>
        <w:rPr>
          <w:rFonts w:ascii="仿宋_GB2312" w:eastAsia="仿宋_GB2312" w:hint="eastAsia"/>
          <w:sz w:val="30"/>
          <w:szCs w:val="30"/>
        </w:rPr>
        <w:t>6,931,099.00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元、上年财政结转结余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元。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年财政拨款支出预算</w:t>
      </w:r>
      <w:r>
        <w:rPr>
          <w:rFonts w:ascii="仿宋_GB2312" w:eastAsia="仿宋_GB2312" w:hint="eastAsia"/>
          <w:sz w:val="30"/>
          <w:szCs w:val="30"/>
        </w:rPr>
        <w:t>6,931,099.00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381,083.00</w:t>
      </w:r>
      <w:r>
        <w:rPr>
          <w:rFonts w:ascii="仿宋_GB2312" w:eastAsia="仿宋_GB2312" w:hint="eastAsia"/>
          <w:sz w:val="30"/>
          <w:szCs w:val="30"/>
        </w:rPr>
        <w:t>元，主要原因是项目预算增加。支出包括：一般公共服务</w:t>
      </w:r>
      <w:r>
        <w:rPr>
          <w:rFonts w:ascii="仿宋_GB2312" w:eastAsia="仿宋_GB2312" w:hint="eastAsia"/>
          <w:sz w:val="30"/>
          <w:szCs w:val="30"/>
        </w:rPr>
        <w:t>支出</w:t>
      </w:r>
      <w:r>
        <w:rPr>
          <w:rFonts w:ascii="仿宋_GB2312" w:eastAsia="仿宋_GB2312" w:hint="eastAsia"/>
          <w:sz w:val="30"/>
          <w:szCs w:val="30"/>
        </w:rPr>
        <w:t>5,976,431.00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693,900.00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260,768.00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255A52" w:rsidRDefault="00BE4F49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255A52" w:rsidRDefault="00BE4F49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255A52" w:rsidRDefault="00BE4F4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天津市河北区统计局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年一般公共预算支出</w:t>
      </w:r>
      <w:r>
        <w:rPr>
          <w:rFonts w:ascii="仿宋_GB2312" w:eastAsia="仿宋_GB2312" w:hint="eastAsia"/>
          <w:sz w:val="30"/>
          <w:szCs w:val="30"/>
        </w:rPr>
        <w:t>6,931,099.00</w:t>
      </w:r>
      <w:r>
        <w:rPr>
          <w:rFonts w:ascii="仿宋_GB2312" w:eastAsia="仿宋_GB2312" w:hint="eastAsia"/>
          <w:sz w:val="30"/>
          <w:szCs w:val="30"/>
        </w:rPr>
        <w:lastRenderedPageBreak/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381,083.00</w:t>
      </w:r>
      <w:r>
        <w:rPr>
          <w:rFonts w:ascii="仿宋_GB2312" w:eastAsia="仿宋_GB2312" w:hint="eastAsia"/>
          <w:sz w:val="30"/>
          <w:szCs w:val="30"/>
        </w:rPr>
        <w:t>元，主要原因是项目预算增加。</w:t>
      </w:r>
    </w:p>
    <w:p w:rsidR="00255A52" w:rsidRDefault="00BE4F49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</w:t>
      </w:r>
      <w:r>
        <w:rPr>
          <w:rFonts w:ascii="楷体" w:eastAsia="楷体" w:hAnsi="楷体" w:cs="仿宋_GB2312" w:hint="eastAsia"/>
          <w:b/>
          <w:sz w:val="30"/>
          <w:szCs w:val="30"/>
        </w:rPr>
        <w:t>二</w:t>
      </w:r>
      <w:r>
        <w:rPr>
          <w:rFonts w:ascii="楷体" w:eastAsia="楷体" w:hAnsi="楷体" w:cs="仿宋_GB2312" w:hint="eastAsia"/>
          <w:b/>
          <w:sz w:val="30"/>
          <w:szCs w:val="30"/>
        </w:rPr>
        <w:t>）</w:t>
      </w:r>
      <w:r>
        <w:rPr>
          <w:rFonts w:ascii="楷体" w:eastAsia="楷体" w:hAnsi="楷体" w:cs="仿宋_GB2312" w:hint="eastAsia"/>
          <w:b/>
          <w:sz w:val="30"/>
          <w:szCs w:val="30"/>
        </w:rPr>
        <w:t>具体情况。</w:t>
      </w:r>
    </w:p>
    <w:p w:rsidR="00255A52" w:rsidRDefault="00BE4F4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“一般公共服务支出（类）”</w:t>
      </w:r>
      <w:r>
        <w:rPr>
          <w:rFonts w:ascii="仿宋_GB2312" w:eastAsia="仿宋_GB2312" w:hint="eastAsia"/>
          <w:sz w:val="30"/>
          <w:szCs w:val="30"/>
        </w:rPr>
        <w:t>5,976,431.00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377,098.00</w:t>
      </w:r>
      <w:r>
        <w:rPr>
          <w:rFonts w:ascii="仿宋_GB2312" w:eastAsia="仿宋_GB2312" w:hint="eastAsia"/>
          <w:sz w:val="30"/>
          <w:szCs w:val="30"/>
        </w:rPr>
        <w:t>元，主要原因是项目预算增加，其中：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“统计信息事务（款）”</w:t>
      </w:r>
      <w:r>
        <w:rPr>
          <w:rFonts w:ascii="仿宋_GB2312" w:eastAsia="仿宋_GB2312" w:hint="eastAsia"/>
          <w:sz w:val="30"/>
          <w:szCs w:val="30"/>
        </w:rPr>
        <w:t>5,976,431.00</w:t>
      </w:r>
      <w:r>
        <w:rPr>
          <w:rFonts w:ascii="仿宋_GB2312" w:eastAsia="仿宋_GB2312" w:hint="eastAsia"/>
          <w:sz w:val="30"/>
          <w:szCs w:val="30"/>
        </w:rPr>
        <w:t>元，包括：“行政运行（项）”</w:t>
      </w:r>
      <w:r>
        <w:rPr>
          <w:rFonts w:ascii="仿宋_GB2312" w:eastAsia="仿宋_GB2312" w:hint="eastAsia"/>
          <w:sz w:val="30"/>
          <w:szCs w:val="30"/>
        </w:rPr>
        <w:t>3,902,647.00</w:t>
      </w:r>
      <w:r>
        <w:rPr>
          <w:rFonts w:ascii="仿宋_GB2312" w:eastAsia="仿宋_GB2312" w:hint="eastAsia"/>
          <w:sz w:val="30"/>
          <w:szCs w:val="30"/>
        </w:rPr>
        <w:t>元，主要用于人员工资、津补贴等支出和办公经费支出；“一般行政管理事务（项）”</w:t>
      </w:r>
      <w:r>
        <w:rPr>
          <w:rFonts w:ascii="仿宋_GB2312" w:eastAsia="仿宋_GB2312" w:hint="eastAsia"/>
          <w:sz w:val="30"/>
          <w:szCs w:val="30"/>
        </w:rPr>
        <w:t>1,423,784.00</w:t>
      </w:r>
      <w:r>
        <w:rPr>
          <w:rFonts w:ascii="仿宋_GB2312" w:eastAsia="仿宋_GB2312" w:hint="eastAsia"/>
          <w:sz w:val="30"/>
          <w:szCs w:val="30"/>
        </w:rPr>
        <w:t>元，主要用于政府聘用人员经费支出；“专项普查活动（项）”</w:t>
      </w:r>
      <w:r>
        <w:rPr>
          <w:rFonts w:ascii="仿宋_GB2312" w:eastAsia="仿宋_GB2312" w:hint="eastAsia"/>
          <w:sz w:val="30"/>
          <w:szCs w:val="30"/>
        </w:rPr>
        <w:t>500,000.00</w:t>
      </w:r>
      <w:r>
        <w:rPr>
          <w:rFonts w:ascii="仿宋_GB2312" w:eastAsia="仿宋_GB2312" w:hint="eastAsia"/>
          <w:sz w:val="30"/>
          <w:szCs w:val="30"/>
        </w:rPr>
        <w:t>元，主要用于第五次全国经济普查项目支出；“统计抽样调查（项）”</w:t>
      </w:r>
      <w:r>
        <w:rPr>
          <w:rFonts w:ascii="仿宋_GB2312" w:eastAsia="仿宋_GB2312" w:hint="eastAsia"/>
          <w:sz w:val="30"/>
          <w:szCs w:val="30"/>
        </w:rPr>
        <w:t>150,000.00</w:t>
      </w:r>
      <w:r>
        <w:rPr>
          <w:rFonts w:ascii="仿宋_GB2312" w:eastAsia="仿宋_GB2312" w:hint="eastAsia"/>
          <w:sz w:val="30"/>
          <w:szCs w:val="30"/>
        </w:rPr>
        <w:t>元，主要用于统计抽样调查经费项目支出。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“社会保障和就业支出（类）”</w:t>
      </w:r>
      <w:r>
        <w:rPr>
          <w:rFonts w:ascii="仿宋_GB2312" w:eastAsia="仿宋_GB2312" w:hint="eastAsia"/>
          <w:sz w:val="30"/>
          <w:szCs w:val="30"/>
        </w:rPr>
        <w:t>693,900.00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2,620.00</w:t>
      </w:r>
      <w:r>
        <w:rPr>
          <w:rFonts w:ascii="仿宋_GB2312" w:eastAsia="仿宋_GB2312" w:hint="eastAsia"/>
          <w:sz w:val="30"/>
          <w:szCs w:val="30"/>
        </w:rPr>
        <w:t>元，主要原因</w:t>
      </w:r>
      <w:r>
        <w:rPr>
          <w:rFonts w:ascii="仿宋_GB2312" w:eastAsia="仿宋_GB2312" w:hint="eastAsia"/>
          <w:sz w:val="30"/>
          <w:szCs w:val="30"/>
        </w:rPr>
        <w:t>是工资收入调整，缴费基数调整，其中：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“行政事业单位养老支出（款）”</w:t>
      </w:r>
      <w:r>
        <w:rPr>
          <w:rFonts w:ascii="仿宋_GB2312" w:eastAsia="仿宋_GB2312" w:hint="eastAsia"/>
          <w:sz w:val="30"/>
          <w:szCs w:val="30"/>
        </w:rPr>
        <w:t>693,900.00</w:t>
      </w:r>
      <w:r>
        <w:rPr>
          <w:rFonts w:ascii="仿宋_GB2312" w:eastAsia="仿宋_GB2312" w:hint="eastAsia"/>
          <w:sz w:val="30"/>
          <w:szCs w:val="30"/>
        </w:rPr>
        <w:t>元，包括：“行政单位离退休（项）”</w:t>
      </w:r>
      <w:r>
        <w:rPr>
          <w:rFonts w:ascii="仿宋_GB2312" w:eastAsia="仿宋_GB2312" w:hint="eastAsia"/>
          <w:sz w:val="30"/>
          <w:szCs w:val="30"/>
        </w:rPr>
        <w:t>193,227.00</w:t>
      </w:r>
      <w:r>
        <w:rPr>
          <w:rFonts w:ascii="仿宋_GB2312" w:eastAsia="仿宋_GB2312" w:hint="eastAsia"/>
          <w:sz w:val="30"/>
          <w:szCs w:val="30"/>
        </w:rPr>
        <w:t>元，主要用于行政单位离退休人员支出；“机关事业单位基本养老保险缴费支出（项）”</w:t>
      </w:r>
      <w:r>
        <w:rPr>
          <w:rFonts w:ascii="仿宋_GB2312" w:eastAsia="仿宋_GB2312" w:hint="eastAsia"/>
          <w:sz w:val="30"/>
          <w:szCs w:val="30"/>
        </w:rPr>
        <w:t>333,782.00</w:t>
      </w:r>
      <w:r>
        <w:rPr>
          <w:rFonts w:ascii="仿宋_GB2312" w:eastAsia="仿宋_GB2312" w:hint="eastAsia"/>
          <w:sz w:val="30"/>
          <w:szCs w:val="30"/>
        </w:rPr>
        <w:t>元，主要用于机关事业单位养老保险缴费支出；“机关事业单位职业年金缴费支出（项）”</w:t>
      </w:r>
      <w:r>
        <w:rPr>
          <w:rFonts w:ascii="仿宋_GB2312" w:eastAsia="仿宋_GB2312" w:hint="eastAsia"/>
          <w:sz w:val="30"/>
          <w:szCs w:val="30"/>
        </w:rPr>
        <w:t>166,891.00</w:t>
      </w:r>
      <w:r>
        <w:rPr>
          <w:rFonts w:ascii="仿宋_GB2312" w:eastAsia="仿宋_GB2312" w:hint="eastAsia"/>
          <w:sz w:val="30"/>
          <w:szCs w:val="30"/>
        </w:rPr>
        <w:t>元，主要用于机关事业单位职业年金缴费支出。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“卫生健康支出（类）”</w:t>
      </w:r>
      <w:r>
        <w:rPr>
          <w:rFonts w:ascii="仿宋_GB2312" w:eastAsia="仿宋_GB2312" w:hint="eastAsia"/>
          <w:sz w:val="30"/>
          <w:szCs w:val="30"/>
        </w:rPr>
        <w:t>260,768.00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1,365.00</w:t>
      </w:r>
      <w:r>
        <w:rPr>
          <w:rFonts w:ascii="仿宋_GB2312" w:eastAsia="仿宋_GB2312" w:hint="eastAsia"/>
          <w:sz w:val="30"/>
          <w:szCs w:val="30"/>
        </w:rPr>
        <w:t>元，主要原因是工资收入调整，缴</w:t>
      </w:r>
      <w:r>
        <w:rPr>
          <w:rFonts w:ascii="仿宋_GB2312" w:eastAsia="仿宋_GB2312" w:hint="eastAsia"/>
          <w:sz w:val="30"/>
          <w:szCs w:val="30"/>
        </w:rPr>
        <w:t>费基数调整，其中：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lastRenderedPageBreak/>
        <w:t xml:space="preserve">　　“行政事业单位医疗（款）”</w:t>
      </w:r>
      <w:r>
        <w:rPr>
          <w:rFonts w:ascii="仿宋_GB2312" w:eastAsia="仿宋_GB2312" w:hint="eastAsia"/>
          <w:sz w:val="30"/>
          <w:szCs w:val="30"/>
        </w:rPr>
        <w:t>260,768.00</w:t>
      </w:r>
      <w:r>
        <w:rPr>
          <w:rFonts w:ascii="仿宋_GB2312" w:eastAsia="仿宋_GB2312" w:hint="eastAsia"/>
          <w:sz w:val="30"/>
          <w:szCs w:val="30"/>
        </w:rPr>
        <w:t>元，包括：“行政单位医疗（项）”</w:t>
      </w:r>
      <w:r>
        <w:rPr>
          <w:rFonts w:ascii="仿宋_GB2312" w:eastAsia="仿宋_GB2312" w:hint="eastAsia"/>
          <w:sz w:val="30"/>
          <w:szCs w:val="30"/>
        </w:rPr>
        <w:t>134,115.00</w:t>
      </w:r>
      <w:r>
        <w:rPr>
          <w:rFonts w:ascii="仿宋_GB2312" w:eastAsia="仿宋_GB2312" w:hint="eastAsia"/>
          <w:sz w:val="30"/>
          <w:szCs w:val="30"/>
        </w:rPr>
        <w:t>元，主要用于行政单位基本医疗保险缴费支出；“事业单位医疗（项）”</w:t>
      </w:r>
      <w:r>
        <w:rPr>
          <w:rFonts w:ascii="仿宋_GB2312" w:eastAsia="仿宋_GB2312" w:hint="eastAsia"/>
          <w:sz w:val="30"/>
          <w:szCs w:val="30"/>
        </w:rPr>
        <w:t>84,930.00</w:t>
      </w:r>
      <w:r>
        <w:rPr>
          <w:rFonts w:ascii="仿宋_GB2312" w:eastAsia="仿宋_GB2312" w:hint="eastAsia"/>
          <w:sz w:val="30"/>
          <w:szCs w:val="30"/>
        </w:rPr>
        <w:t>元，主要用于单位基本医疗保险缴费支出；“公务员医疗补助（项）”</w:t>
      </w:r>
      <w:r>
        <w:rPr>
          <w:rFonts w:ascii="仿宋_GB2312" w:eastAsia="仿宋_GB2312" w:hint="eastAsia"/>
          <w:sz w:val="30"/>
          <w:szCs w:val="30"/>
        </w:rPr>
        <w:t>25,546.00</w:t>
      </w:r>
      <w:r>
        <w:rPr>
          <w:rFonts w:ascii="仿宋_GB2312" w:eastAsia="仿宋_GB2312" w:hint="eastAsia"/>
          <w:sz w:val="30"/>
          <w:szCs w:val="30"/>
        </w:rPr>
        <w:t>元，主要用于公务员医疗补助缴费支出；“其他行政事业单位医疗支出（项）”</w:t>
      </w:r>
      <w:r>
        <w:rPr>
          <w:rFonts w:ascii="仿宋_GB2312" w:eastAsia="仿宋_GB2312" w:hint="eastAsia"/>
          <w:sz w:val="30"/>
          <w:szCs w:val="30"/>
        </w:rPr>
        <w:t>16,177.00</w:t>
      </w:r>
      <w:r>
        <w:rPr>
          <w:rFonts w:ascii="仿宋_GB2312" w:eastAsia="仿宋_GB2312" w:hint="eastAsia"/>
          <w:sz w:val="30"/>
          <w:szCs w:val="30"/>
        </w:rPr>
        <w:t>元，主要用于行政事业单位医疗方面的其他支出。</w:t>
      </w:r>
    </w:p>
    <w:p w:rsidR="00255A52" w:rsidRDefault="00BE4F49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9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255A52" w:rsidRDefault="00BE4F4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10" w:name="_Toc78784577"/>
      <w:r>
        <w:rPr>
          <w:rFonts w:ascii="仿宋_GB2312" w:eastAsia="仿宋_GB2312" w:hint="eastAsia"/>
          <w:sz w:val="30"/>
          <w:szCs w:val="30"/>
        </w:rPr>
        <w:t>天津市河北区统计局一般公共预算基本支出</w:t>
      </w:r>
      <w:r>
        <w:rPr>
          <w:rFonts w:ascii="仿宋_GB2312" w:eastAsia="仿宋_GB2312" w:hint="eastAsia"/>
          <w:sz w:val="30"/>
          <w:szCs w:val="30"/>
        </w:rPr>
        <w:t>6,084,</w:t>
      </w:r>
      <w:r>
        <w:rPr>
          <w:rFonts w:ascii="仿宋_GB2312" w:eastAsia="仿宋_GB2312" w:hint="eastAsia"/>
          <w:sz w:val="30"/>
          <w:szCs w:val="30"/>
        </w:rPr>
        <w:t>602.00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203,614.00</w:t>
      </w:r>
      <w:r>
        <w:rPr>
          <w:rFonts w:ascii="仿宋_GB2312" w:eastAsia="仿宋_GB2312" w:hint="eastAsia"/>
          <w:sz w:val="30"/>
          <w:szCs w:val="30"/>
        </w:rPr>
        <w:t>元，主要原因是机关运行经费减少。其中：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人员经费</w:t>
      </w:r>
      <w:r>
        <w:rPr>
          <w:rFonts w:ascii="仿宋_GB2312" w:eastAsia="仿宋_GB2312" w:hint="eastAsia"/>
          <w:sz w:val="30"/>
          <w:szCs w:val="30"/>
        </w:rPr>
        <w:t>5,460,894.00</w:t>
      </w:r>
      <w:r>
        <w:rPr>
          <w:rFonts w:ascii="仿宋_GB2312" w:eastAsia="仿宋_GB2312" w:hint="eastAsia"/>
          <w:sz w:val="30"/>
          <w:szCs w:val="30"/>
        </w:rPr>
        <w:t>元，主要包括：基本工资、津贴补贴、奖金、机关事业单位基本养老保险缴费、职业年金缴费、职工基本医疗保险缴费、公务员医疗补助缴费、其他社会保障缴费、住房公积金、其他工资福利支出、离休费、退休费、奖励金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公用经费</w:t>
      </w:r>
      <w:r>
        <w:rPr>
          <w:rFonts w:ascii="仿宋_GB2312" w:eastAsia="仿宋_GB2312" w:hint="eastAsia"/>
          <w:sz w:val="30"/>
          <w:szCs w:val="30"/>
        </w:rPr>
        <w:t>623,708.00</w:t>
      </w:r>
      <w:r>
        <w:rPr>
          <w:rFonts w:ascii="仿宋_GB2312" w:eastAsia="仿宋_GB2312" w:hint="eastAsia"/>
          <w:sz w:val="30"/>
          <w:szCs w:val="30"/>
        </w:rPr>
        <w:t>元，主要包括：办公费、水费、电费、邮电费、取暖费、物业管理费、差旅费、维修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护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费、培训费、工会经费、福利费、其他交通费用、其他商品和服务支出。</w:t>
      </w:r>
    </w:p>
    <w:p w:rsidR="00255A52" w:rsidRDefault="00BE4F49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255A52" w:rsidRDefault="00BE4F4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年一般公共预算“三公”经费安排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</w:t>
      </w:r>
      <w:r>
        <w:rPr>
          <w:rFonts w:ascii="仿宋_GB2312" w:eastAsia="仿宋_GB2312" w:hint="eastAsia"/>
          <w:sz w:val="30"/>
          <w:szCs w:val="30"/>
        </w:rPr>
        <w:lastRenderedPageBreak/>
        <w:t>排“三公”经费。具体情况：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一、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年因公出国（境）费预算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元，主要原因是本部门一般公共预算未安排“因公出国（境）”费。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二、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年公务用车购置及运行费预算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元，其中公务用车运行费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</w:t>
      </w:r>
      <w:r>
        <w:rPr>
          <w:rFonts w:ascii="仿宋_GB2312" w:eastAsia="仿宋_GB2312" w:hint="eastAsia"/>
          <w:sz w:val="30"/>
          <w:szCs w:val="30"/>
        </w:rPr>
        <w:t>算未安排“公务用车运行”费；公务用车购置费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元，主要原因是本部门一般公共预算未安排“公务用车购置”费。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三、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年公务接待费预算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元，主要原因是本部门一般公共预算未安排“公务接待”费。</w:t>
      </w:r>
    </w:p>
    <w:p w:rsidR="00255A52" w:rsidRDefault="00BE4F49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255A52" w:rsidRDefault="00BE4F49" w:rsidP="00BE4F49">
      <w:pPr>
        <w:spacing w:line="60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年天津市河北区统计局预算中没有使用政府性基金预算安排的支出。</w:t>
      </w:r>
      <w:r>
        <w:rPr>
          <w:rFonts w:ascii="楷体" w:eastAsia="楷体" w:hAnsi="楷体" w:cs="仿宋_GB2312" w:hint="eastAsia"/>
          <w:b/>
          <w:sz w:val="30"/>
          <w:szCs w:val="30"/>
        </w:rPr>
        <w:t xml:space="preserve"> </w:t>
      </w:r>
      <w:bookmarkStart w:id="11" w:name="_Toc78784578"/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255A52" w:rsidRDefault="00BE4F49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255A52" w:rsidRDefault="00BE4F49" w:rsidP="00BE4F49">
      <w:pPr>
        <w:spacing w:line="600" w:lineRule="exact"/>
        <w:ind w:firstLineChars="200" w:firstLine="602"/>
      </w:pPr>
      <w:r>
        <w:rPr>
          <w:rFonts w:ascii="楷体" w:eastAsia="楷体" w:hAnsi="楷体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年天津市河北区统计局预算中没有使用国有资本经营</w:t>
      </w:r>
      <w:proofErr w:type="gramStart"/>
      <w:r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预算</w:t>
      </w:r>
      <w:proofErr w:type="gramEnd"/>
      <w:r>
        <w:rPr>
          <w:rFonts w:ascii="仿宋_GB2312" w:eastAsia="仿宋_GB2312" w:hint="eastAsia"/>
          <w:sz w:val="30"/>
          <w:szCs w:val="30"/>
        </w:rPr>
        <w:t>安排的支出。</w:t>
      </w:r>
      <w:r>
        <w:rPr>
          <w:rFonts w:ascii="楷体" w:eastAsia="楷体" w:hAnsi="楷体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255A52" w:rsidRDefault="00BE4F49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2" w:name="_Toc78784579"/>
      <w:r>
        <w:rPr>
          <w:rFonts w:ascii="黑体" w:eastAsia="黑体" w:hAnsi="黑体" w:hint="eastAsia"/>
          <w:b w:val="0"/>
          <w:sz w:val="30"/>
          <w:szCs w:val="30"/>
        </w:rPr>
        <w:lastRenderedPageBreak/>
        <w:t>十、其他重要事项的情况说明</w:t>
      </w:r>
    </w:p>
    <w:p w:rsidR="00255A52" w:rsidRDefault="00BE4F49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2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255A52" w:rsidRDefault="00BE4F4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天津市河北区统计局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年等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家行政单位以及天津市河北区统计局普查中心等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家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参公管理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事业单位的机关运行经费预算</w:t>
      </w:r>
      <w:r>
        <w:rPr>
          <w:rFonts w:ascii="仿宋_GB2312" w:eastAsia="仿宋_GB2312" w:hAnsi="仿宋_GB2312" w:cs="仿宋_GB2312" w:hint="eastAsia"/>
          <w:sz w:val="30"/>
          <w:szCs w:val="30"/>
        </w:rPr>
        <w:t>623708.00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元，包括：“办公及印刷费”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70720.00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元、“水费”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8500.00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元、“电费”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16320.00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元、“邮电费”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13600.00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元、“取暖费”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31,149.00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元、“物业管理费”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146498.00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元、“差旅费”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2720.00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元、“维修</w:t>
      </w:r>
      <w:r>
        <w:rPr>
          <w:rFonts w:ascii="仿宋_GB2312" w:eastAsia="仿宋_GB2312" w:hAnsi="仿宋_GB2312" w:cs="仿宋_GB2312" w:hint="eastAsia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sz w:val="30"/>
          <w:szCs w:val="30"/>
        </w:rPr>
        <w:t>护</w:t>
      </w:r>
      <w:r>
        <w:rPr>
          <w:rFonts w:ascii="仿宋_GB2312" w:eastAsia="仿宋_GB2312" w:hAnsi="仿宋_GB2312" w:cs="仿宋_GB2312" w:hint="eastAsia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sz w:val="30"/>
          <w:szCs w:val="30"/>
        </w:rPr>
        <w:t>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3400.00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元、“培训费”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3060.00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元、“工会经费”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31031.00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元、“福利费”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57270.00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元、“其他交通费用”</w:t>
      </w:r>
      <w:r>
        <w:rPr>
          <w:rFonts w:ascii="仿宋_GB2312" w:eastAsia="仿宋_GB2312" w:hAnsi="仿宋_GB2312" w:cs="仿宋_GB2312" w:hint="eastAsia"/>
          <w:sz w:val="30"/>
          <w:szCs w:val="30"/>
        </w:rPr>
        <w:t>139440.0</w:t>
      </w:r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元、“其他商品和服务支出”</w:t>
      </w:r>
      <w:r>
        <w:rPr>
          <w:rFonts w:ascii="仿宋_GB2312" w:eastAsia="仿宋_GB2312" w:hAnsi="仿宋_GB2312" w:cs="仿宋_GB2312" w:hint="eastAsia"/>
          <w:sz w:val="30"/>
          <w:szCs w:val="30"/>
        </w:rPr>
        <w:t>100,000.00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255A52" w:rsidRDefault="00BE4F49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255A52" w:rsidRDefault="00BE4F4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年安排政府采购预算</w:t>
      </w:r>
      <w:r>
        <w:rPr>
          <w:rFonts w:ascii="仿宋_GB2312" w:eastAsia="仿宋_GB2312" w:hAnsi="仿宋_GB2312" w:cs="仿宋_GB2312" w:hint="eastAsia"/>
          <w:sz w:val="30"/>
          <w:szCs w:val="30"/>
        </w:rPr>
        <w:t>1740.00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元，其中：政府采购货物支出</w:t>
      </w:r>
      <w:r>
        <w:rPr>
          <w:rFonts w:ascii="仿宋_GB2312" w:eastAsia="仿宋_GB2312" w:hAnsi="仿宋_GB2312" w:cs="仿宋_GB2312" w:hint="eastAsia"/>
          <w:sz w:val="30"/>
          <w:szCs w:val="30"/>
        </w:rPr>
        <w:t>1740.00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元、政府采购工程支出</w:t>
      </w:r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元、政府采购服务支出</w:t>
      </w:r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元。主要项目是办公用纸</w:t>
      </w:r>
      <w:r>
        <w:rPr>
          <w:rFonts w:ascii="仿宋_GB2312" w:eastAsia="仿宋_GB2312" w:hAnsi="仿宋_GB2312" w:cs="仿宋_GB2312" w:hint="eastAsia"/>
          <w:sz w:val="30"/>
          <w:szCs w:val="30"/>
        </w:rPr>
        <w:t>1740.00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255A52" w:rsidRDefault="00BE4F49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255A52" w:rsidRDefault="00BE4F49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月底，本部门各单位共有车辆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辆、主要负责人干部用车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辆、应急保障用车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辆、执法执勤用车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辆、离退休干部服务用车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辆、其他用车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辆，其他用车主要包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括无。单价（账面原值）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万元以上的设备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台（套）。</w:t>
      </w:r>
    </w:p>
    <w:p w:rsidR="00255A52" w:rsidRDefault="00BE4F49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255A52" w:rsidRDefault="00BE4F49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  <w:sectPr w:rsidR="00255A52"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年实行绩效目标管理的项目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个，涉及预算金额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846,497.00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  <w:bookmarkStart w:id="13" w:name="_GoBack"/>
      <w:bookmarkEnd w:id="13"/>
    </w:p>
    <w:p w:rsidR="00255A52" w:rsidRDefault="00255A52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255A52" w:rsidRDefault="00BE4F49">
      <w:pPr>
        <w:pStyle w:val="1"/>
        <w:spacing w:line="600" w:lineRule="exact"/>
        <w:jc w:val="center"/>
        <w:rPr>
          <w:rFonts w:ascii="黑体" w:eastAsia="黑体" w:hAnsi="黑体" w:cs="黑体"/>
        </w:rPr>
      </w:pPr>
      <w:bookmarkStart w:id="14" w:name="_Toc78784585"/>
      <w:r>
        <w:rPr>
          <w:rFonts w:ascii="黑体" w:eastAsia="黑体" w:hAnsi="黑体" w:cs="黑体" w:hint="eastAsia"/>
        </w:rPr>
        <w:t>第三部分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名词解释</w:t>
      </w:r>
      <w:bookmarkEnd w:id="14"/>
    </w:p>
    <w:p w:rsidR="00255A52" w:rsidRDefault="00255A52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55A52" w:rsidRDefault="00BE4F49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255A52" w:rsidRDefault="00BE4F49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255A52" w:rsidRDefault="00BE4F49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</w:t>
      </w:r>
      <w:proofErr w:type="gramStart"/>
      <w:r>
        <w:rPr>
          <w:rFonts w:eastAsia="楷体_GB2312" w:hint="eastAsia"/>
          <w:sz w:val="30"/>
          <w:szCs w:val="30"/>
        </w:rPr>
        <w:t>性名</w:t>
      </w:r>
      <w:proofErr w:type="gramEnd"/>
      <w:r>
        <w:rPr>
          <w:rFonts w:eastAsia="楷体_GB2312" w:hint="eastAsia"/>
          <w:sz w:val="30"/>
          <w:szCs w:val="30"/>
        </w:rPr>
        <w:t>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255A52" w:rsidRDefault="00255A5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55A52" w:rsidRDefault="00255A5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55A52" w:rsidRDefault="00255A5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55A52" w:rsidRDefault="00255A5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55A52" w:rsidRDefault="00255A5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55A52" w:rsidRDefault="00255A5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55A52" w:rsidRDefault="00255A5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55A52" w:rsidRDefault="00255A5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255A52" w:rsidRDefault="00BE4F49">
      <w:pPr>
        <w:pStyle w:val="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第四部分</w:t>
      </w:r>
      <w:r>
        <w:rPr>
          <w:rFonts w:ascii="黑体" w:eastAsia="黑体" w:hAnsi="黑体" w:cs="黑体" w:hint="eastAsia"/>
        </w:rPr>
        <w:t xml:space="preserve">  20</w:t>
      </w:r>
      <w:r>
        <w:rPr>
          <w:rFonts w:ascii="黑体" w:eastAsia="黑体" w:hAnsi="黑体" w:cs="黑体" w:hint="eastAsia"/>
        </w:rPr>
        <w:t>24</w:t>
      </w:r>
      <w:r>
        <w:rPr>
          <w:rFonts w:ascii="黑体" w:eastAsia="黑体" w:hAnsi="黑体" w:cs="黑体" w:hint="eastAsia"/>
        </w:rPr>
        <w:t>年部门预算表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七、《一般公共预算“三公”经费支出情况表》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255A52" w:rsidRDefault="00BE4F49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255A52" w:rsidRDefault="00BE4F49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年一般公共预算“三公”经费支出情况表为空表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</w:t>
      </w: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“本部门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年政府性基金预算支出情况表为空表”。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</w:t>
      </w: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“本部门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年国有资本经营预算支出情况表为空表”。</w:t>
      </w:r>
    </w:p>
    <w:p w:rsidR="00255A52" w:rsidRDefault="00255A52">
      <w:pPr>
        <w:spacing w:line="560" w:lineRule="exact"/>
        <w:rPr>
          <w:rFonts w:eastAsia="楷体"/>
          <w:sz w:val="30"/>
          <w:szCs w:val="30"/>
        </w:rPr>
      </w:pPr>
    </w:p>
    <w:p w:rsidR="00255A52" w:rsidRDefault="00BE4F49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R="00255A52"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4F49">
      <w:pPr>
        <w:spacing w:line="240" w:lineRule="auto"/>
      </w:pPr>
      <w:r>
        <w:separator/>
      </w:r>
    </w:p>
  </w:endnote>
  <w:endnote w:type="continuationSeparator" w:id="0">
    <w:p w:rsidR="00000000" w:rsidRDefault="00BE4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52" w:rsidRDefault="00BE4F49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55A52" w:rsidRDefault="00255A5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52" w:rsidRDefault="00255A52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52" w:rsidRDefault="00BE4F4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E4F49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255A52" w:rsidRDefault="00255A5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4F49">
      <w:pPr>
        <w:spacing w:line="240" w:lineRule="auto"/>
      </w:pPr>
      <w:r>
        <w:separator/>
      </w:r>
    </w:p>
  </w:footnote>
  <w:footnote w:type="continuationSeparator" w:id="0">
    <w:p w:rsidR="00000000" w:rsidRDefault="00BE4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52" w:rsidRDefault="00255A5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YjE1OTI0ZjFiOGFhMWM4MWNjMzdkNjI3N2RmY2MifQ=="/>
  </w:docVars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5A52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154E2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E4F49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adjustRightInd w:val="0"/>
      <w:spacing w:line="360" w:lineRule="atLeast"/>
      <w:textAlignment w:val="baseline"/>
    </w:pPr>
    <w:rPr>
      <w:sz w:val="24"/>
      <w:lang w:eastAsia="zh-CN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alloon Text"/>
    <w:basedOn w:val="a"/>
    <w:link w:val="Char"/>
    <w:autoRedefine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autoRedefine/>
    <w:qFormat/>
  </w:style>
  <w:style w:type="character" w:customStyle="1" w:styleId="1Char">
    <w:name w:val="标题 1 Char"/>
    <w:link w:val="1"/>
    <w:autoRedefine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a4"/>
    <w:autoRedefine/>
    <w:qFormat/>
    <w:rPr>
      <w:sz w:val="18"/>
      <w:szCs w:val="18"/>
    </w:rPr>
  </w:style>
  <w:style w:type="character" w:customStyle="1" w:styleId="Char0">
    <w:name w:val="页脚 Char"/>
    <w:link w:val="a5"/>
    <w:autoRedefine/>
    <w:uiPriority w:val="99"/>
    <w:qFormat/>
    <w:rPr>
      <w:sz w:val="18"/>
      <w:szCs w:val="18"/>
    </w:rPr>
  </w:style>
  <w:style w:type="paragraph" w:customStyle="1" w:styleId="CharChar">
    <w:name w:val="Char Char"/>
    <w:basedOn w:val="a3"/>
    <w:autoRedefine/>
    <w:qFormat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autoRedefine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adjustRightInd w:val="0"/>
      <w:spacing w:line="360" w:lineRule="atLeast"/>
      <w:textAlignment w:val="baseline"/>
    </w:pPr>
    <w:rPr>
      <w:sz w:val="24"/>
      <w:lang w:eastAsia="zh-CN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alloon Text"/>
    <w:basedOn w:val="a"/>
    <w:link w:val="Char"/>
    <w:autoRedefine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autoRedefine/>
    <w:qFormat/>
  </w:style>
  <w:style w:type="character" w:customStyle="1" w:styleId="1Char">
    <w:name w:val="标题 1 Char"/>
    <w:link w:val="1"/>
    <w:autoRedefine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a4"/>
    <w:autoRedefine/>
    <w:qFormat/>
    <w:rPr>
      <w:sz w:val="18"/>
      <w:szCs w:val="18"/>
    </w:rPr>
  </w:style>
  <w:style w:type="character" w:customStyle="1" w:styleId="Char0">
    <w:name w:val="页脚 Char"/>
    <w:link w:val="a5"/>
    <w:autoRedefine/>
    <w:uiPriority w:val="99"/>
    <w:qFormat/>
    <w:rPr>
      <w:sz w:val="18"/>
      <w:szCs w:val="18"/>
    </w:rPr>
  </w:style>
  <w:style w:type="paragraph" w:customStyle="1" w:styleId="CharChar">
    <w:name w:val="Char Char"/>
    <w:basedOn w:val="a3"/>
    <w:autoRedefine/>
    <w:qFormat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autoRedefine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3693</Words>
  <Characters>1102</Characters>
  <Application>Microsoft Office Word</Application>
  <DocSecurity>0</DocSecurity>
  <Lines>9</Lines>
  <Paragraphs>9</Paragraphs>
  <ScaleCrop>false</ScaleCrop>
  <Company>微软中国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Administrator</cp:lastModifiedBy>
  <cp:revision>9</cp:revision>
  <cp:lastPrinted>2022-01-18T17:13:00Z</cp:lastPrinted>
  <dcterms:created xsi:type="dcterms:W3CDTF">2019-01-31T15:44:00Z</dcterms:created>
  <dcterms:modified xsi:type="dcterms:W3CDTF">2024-03-05T09:08:00Z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