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5F40" w14:textId="77777777" w:rsidR="005F3075" w:rsidRDefault="00000000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 xml:space="preserve">  </w:t>
      </w:r>
    </w:p>
    <w:p w14:paraId="4B67E4F4" w14:textId="77777777" w:rsidR="005F3075" w:rsidRDefault="005F307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6BC74226" w14:textId="77777777" w:rsidR="005F3075" w:rsidRDefault="005F307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5641A004" w14:textId="77777777" w:rsidR="005F3075" w:rsidRDefault="005F307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EA4AF2B" w14:textId="77777777" w:rsidR="005F3075" w:rsidRDefault="005F307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7EE0C5CE" w14:textId="77777777" w:rsidR="005F3075" w:rsidRDefault="005F307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10117117" w14:textId="77777777" w:rsidR="005F3075" w:rsidRDefault="00000000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14:paraId="082C3F93" w14:textId="77777777" w:rsidR="005F3075" w:rsidRDefault="005F307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48F9111" w14:textId="77777777" w:rsidR="005F3075" w:rsidRDefault="00000000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天津市河北区市场监管局12315投诉举报中心</w:t>
      </w:r>
    </w:p>
    <w:p w14:paraId="32BD0887" w14:textId="77777777" w:rsidR="005F3075" w:rsidRDefault="00000000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2024年部门预算</w:t>
      </w:r>
    </w:p>
    <w:p w14:paraId="18FCE43C" w14:textId="77777777" w:rsidR="005F3075" w:rsidRDefault="005F3075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14:paraId="38CC8653" w14:textId="77777777" w:rsidR="005F3075" w:rsidRDefault="005F3075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14:paraId="1949DE4B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41E1A94E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0928E8CF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01780E04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75BE677F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24956E3F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13B336B0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5D45C292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58464390" w14:textId="77777777" w:rsidR="005F3075" w:rsidRDefault="005F3075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1A9AD411" w14:textId="77777777" w:rsidR="005F3075" w:rsidRDefault="005F3075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14:paraId="40C6411B" w14:textId="77777777" w:rsidR="005F3075" w:rsidRDefault="00000000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14:paraId="10BC73BD" w14:textId="77777777" w:rsidR="005F3075" w:rsidRDefault="005F3075">
      <w:pPr>
        <w:spacing w:line="600" w:lineRule="exact"/>
        <w:rPr>
          <w:rFonts w:ascii="黑体" w:eastAsia="黑体"/>
          <w:sz w:val="30"/>
          <w:szCs w:val="30"/>
        </w:rPr>
      </w:pPr>
    </w:p>
    <w:p w14:paraId="28B0E5B7" w14:textId="77777777" w:rsidR="005F3075" w:rsidRDefault="00000000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14:paraId="25695EF8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14:paraId="566D207E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14:paraId="338457CB" w14:textId="77777777" w:rsidR="005F3075" w:rsidRDefault="00000000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  2024年部门预算情况说明</w:t>
      </w:r>
    </w:p>
    <w:p w14:paraId="7728CE4D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14:paraId="737F4BB7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14:paraId="7588B379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14:paraId="185A1CE0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14:paraId="541270DA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14:paraId="62802CDE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14:paraId="6A461A09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14:paraId="1E61BFDC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14:paraId="270A26AD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14:paraId="4B7A86D3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14:paraId="36932D89" w14:textId="77777777" w:rsidR="005F3075" w:rsidRDefault="00000000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14:paraId="4746B54A" w14:textId="77777777" w:rsidR="005F3075" w:rsidRDefault="00000000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  2024年部门预算表</w:t>
      </w:r>
    </w:p>
    <w:p w14:paraId="7EA5AD86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14:paraId="34FEDF1F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14:paraId="30C28267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14:paraId="3111709A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四、财政拨款收支总体情况表</w:t>
      </w:r>
    </w:p>
    <w:p w14:paraId="05198CDB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14:paraId="403D56EB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14:paraId="0C3C5967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14:paraId="023E8AB4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14:paraId="345BDD67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14:paraId="4349933C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14:paraId="78A234F8" w14:textId="77777777" w:rsidR="005F3075" w:rsidRDefault="00000000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14:paraId="01D6F593" w14:textId="77777777" w:rsidR="005F3075" w:rsidRDefault="00000000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/>
          <w:b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instrText xml:space="preserve"> 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14:paraId="2E97B609" w14:textId="77777777" w:rsidR="005F3075" w:rsidRDefault="00000000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14:paraId="0D2F4281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69170110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3290B77A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74DB960A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2717EBDB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5BBFEB87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6CBB7202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6E119A01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344E0C21" w14:textId="77777777" w:rsidR="005F3075" w:rsidRDefault="005F307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14:paraId="313419E4" w14:textId="77777777" w:rsidR="005F3075" w:rsidRDefault="005F3075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14:paraId="36D219BE" w14:textId="77777777" w:rsidR="005F3075" w:rsidRDefault="005F3075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5F3075" w:rsidSect="00D525A2">
          <w:headerReference w:type="default" r:id="rId6"/>
          <w:footerReference w:type="even" r:id="rId7"/>
          <w:footerReference w:type="default" r:id="rId8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14:paraId="353266AA" w14:textId="77777777" w:rsidR="005F3075" w:rsidRDefault="00000000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lastRenderedPageBreak/>
        <w:t>第一部分  概 况</w:t>
      </w:r>
      <w:bookmarkEnd w:id="0"/>
    </w:p>
    <w:p w14:paraId="69995D06" w14:textId="77777777" w:rsidR="005F3075" w:rsidRDefault="005F3075">
      <w:pPr>
        <w:spacing w:line="600" w:lineRule="exact"/>
      </w:pPr>
    </w:p>
    <w:p w14:paraId="3B92A425" w14:textId="77777777" w:rsidR="005F3075" w:rsidRDefault="00000000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14:paraId="03AFE7AD" w14:textId="77777777" w:rsidR="005F3075" w:rsidRDefault="00000000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负责为消费者服务，受理消费者的投诉、举报，对投诉、举报内容进行整理、汇总、为市场监管和行政执法提供信息，会同有关部门调解、查处投诉、举报案件。</w:t>
      </w:r>
    </w:p>
    <w:p w14:paraId="0E578F39" w14:textId="77777777" w:rsidR="005F3075" w:rsidRDefault="00000000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14:paraId="501E3A19" w14:textId="77777777" w:rsidR="005F3075" w:rsidRDefault="00000000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天津市河北区市场监管局12315投诉举报中心内设0个职能处室；下辖1个预算单位。</w:t>
      </w:r>
    </w:p>
    <w:p w14:paraId="32A7BA5B" w14:textId="77777777" w:rsidR="005F3075" w:rsidRDefault="00000000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纳入天津市河北区市场监管局12315投诉举报中心2024年部门预算编制范围的预算单位包括：</w:t>
      </w:r>
    </w:p>
    <w:p w14:paraId="67A516C3" w14:textId="77777777" w:rsidR="005F3075" w:rsidRDefault="00000000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5F3075" w:rsidSect="00D525A2"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1.天津市河北区市场监管局12315投诉举报中心</w:t>
      </w:r>
    </w:p>
    <w:p w14:paraId="436731A6" w14:textId="77777777" w:rsidR="005F3075" w:rsidRDefault="00000000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lastRenderedPageBreak/>
        <w:t>第二部分  2024年部门预算情况说明</w:t>
      </w:r>
      <w:bookmarkEnd w:id="3"/>
    </w:p>
    <w:p w14:paraId="68E87BFA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14:paraId="39E91B62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市场监管局12315投诉举报中心所有收入和支出均纳入部门预算管理。收入包括：一般公共预算拨款收入1,080,223.00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890,019.00元、社会保障和就业支出115,566.00元、卫生健康支出74,638.00元。天津市河北区市场监管局12315投诉举报中心2024年收支总预算1,080,223.00元。</w:t>
      </w:r>
    </w:p>
    <w:p w14:paraId="3ECC5837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14:paraId="4061191C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管局12315投诉举报中心2024年部门预算收入1,080,223.00元，与2023年预算相比增加317,238.00元，主要原因是人员经费的变动。其中：上年结转结余0.00元，占0.00%；一般公共预算1,080,223.00元，占100.00%；政府性基金预算0.00元，占0.00%；国有资本经营预算0.00元，占0.00%；财政专户管理资金0.00元，占0.00%；事业收入0.00元，占0.00%；事业单位</w:t>
      </w:r>
      <w:r>
        <w:rPr>
          <w:rFonts w:ascii="仿宋_GB2312" w:eastAsia="仿宋_GB2312" w:hint="eastAsia"/>
          <w:sz w:val="30"/>
          <w:szCs w:val="30"/>
        </w:rPr>
        <w:lastRenderedPageBreak/>
        <w:t>经营收入0.00元，占0.00%；上级补助收入0.00元，占0.00%；附属单位上缴收入0.00元，占0.00%；其他收入0.00元，占0.00%。</w:t>
      </w:r>
    </w:p>
    <w:p w14:paraId="680D2CEC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14:paraId="5C814D33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市场监管局12315投诉举报中心2024年支出预算1,080,223.00元，与2023年预算相比增加317,238.00元，主要原因是人员经费的变动。其中：基本支出1,080,223.00元，占100.00%；项目支出0.00元，占0.00%；事业单位经营支出0.00元，占0.00%；上缴上级支出0.00元，占0.00%；对附属单位补助支出0.00元，占0.00%。</w:t>
      </w:r>
    </w:p>
    <w:p w14:paraId="677B73D8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14:paraId="061808E7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市场监管局12315投诉举报中心2024年财政拨款收入预算1,080,223.00元，与2023年预算相比增加317,238.00元，主要原因是人员经费的变动。收入包括：一般公共预算拨款收入1,080,223.00元、政府性基金预算拨款收入0.00元、国有资本经营预算拨款收入0.00元、上年财政结转结余0.00元。2024年财政拨款支出预算1,080,223.00元，与2023年预算相比增加317,238.00元，主要原因是人员经费的变动。支出包括：一般公共服务支出890,019.00元、社会保障和就业支出115,566.00元、卫生健康支出74,638.00元。</w:t>
      </w:r>
    </w:p>
    <w:p w14:paraId="631A3AD1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14:paraId="004F46E9" w14:textId="77777777" w:rsidR="005F3075" w:rsidRDefault="0000000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14:paraId="7C600A18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天津市河北区市场监管局12315投诉举报中心2024年一般公共预算支出1,080,223.00元，与2023年预算相比增加317,238.00元，主要原因是人员经费的变动。</w:t>
      </w:r>
    </w:p>
    <w:p w14:paraId="0B70366E" w14:textId="77777777" w:rsidR="005F3075" w:rsidRDefault="0000000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14:paraId="6AE4D7A0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1.“一般公共服务支出（类）”890,019.00元，与2023年预算相比增加242,284.00元，主要原因是人员经费的变动。其中：</w:t>
      </w:r>
      <w:r>
        <w:rPr>
          <w:rFonts w:ascii="仿宋_GB2312" w:eastAsia="仿宋_GB2312" w:hint="eastAsia"/>
          <w:sz w:val="30"/>
          <w:szCs w:val="30"/>
        </w:rPr>
        <w:br/>
        <w:t xml:space="preserve">　　“市场监督管理事务（款）”890,019.00元，包括：“事业运行（项）”890,019.00元，主要用于本单位运行相关支出。</w:t>
      </w:r>
      <w:r>
        <w:rPr>
          <w:rFonts w:ascii="仿宋_GB2312" w:eastAsia="仿宋_GB2312" w:hint="eastAsia"/>
          <w:sz w:val="30"/>
          <w:szCs w:val="30"/>
        </w:rPr>
        <w:br/>
        <w:t xml:space="preserve">　　2.“社会保障和就业支出（类）”115,566.00元，与2023年预算相比增加35,392.00元，主要原因是缴费基数的变动。其中：</w:t>
      </w:r>
      <w:r>
        <w:rPr>
          <w:rFonts w:ascii="仿宋_GB2312" w:eastAsia="仿宋_GB2312" w:hint="eastAsia"/>
          <w:sz w:val="30"/>
          <w:szCs w:val="30"/>
        </w:rPr>
        <w:br/>
        <w:t xml:space="preserve">　　“行政事业单位养老支出（款）”115,566.00元，包括：“机关事业单位基本养老保险缴费支出（项）”77,044.00元，主要用于单位养老保险缴费支出。“机关事业单位职业年金缴费支出（项）”38,522.00元，主要用于单位职业年金缴费支出。</w:t>
      </w:r>
      <w:r>
        <w:rPr>
          <w:rFonts w:ascii="仿宋_GB2312" w:eastAsia="仿宋_GB2312" w:hint="eastAsia"/>
          <w:sz w:val="30"/>
          <w:szCs w:val="30"/>
        </w:rPr>
        <w:br/>
        <w:t xml:space="preserve">　　3.“卫生健康支出（类）”74,638.00元，与2023年预算相比增加39,562.00元，主要原因是缴费基数的变化。其中：</w:t>
      </w:r>
      <w:r>
        <w:rPr>
          <w:rFonts w:ascii="仿宋_GB2312" w:eastAsia="仿宋_GB2312" w:hint="eastAsia"/>
          <w:sz w:val="30"/>
          <w:szCs w:val="30"/>
        </w:rPr>
        <w:br/>
        <w:t xml:space="preserve">　　“行政事业单位医疗（款）”74,638.00元，包括：“事业单位医疗（项）”50,561.00元，主要用于本单位医疗支出。“其他行政事业单位医疗支出（项）”24,077.00元，主要用于本单位医疗补助</w:t>
      </w:r>
      <w:r>
        <w:rPr>
          <w:rFonts w:ascii="仿宋_GB2312" w:eastAsia="仿宋_GB2312" w:hint="eastAsia"/>
          <w:sz w:val="30"/>
          <w:szCs w:val="30"/>
        </w:rPr>
        <w:lastRenderedPageBreak/>
        <w:t>支出。</w:t>
      </w:r>
    </w:p>
    <w:p w14:paraId="683101C5" w14:textId="77777777" w:rsidR="005F3075" w:rsidRDefault="005F3075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14:paraId="3B1DCB18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14:paraId="01051A1C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天津市河北区市场监管局12315投诉举报中心一般公共预算基本支出1,080,223.00元，与2023年预算相比增加317,238.00元，主要原因是人员经费的变动。其中：</w:t>
      </w:r>
      <w:r>
        <w:rPr>
          <w:rFonts w:ascii="仿宋_GB2312" w:eastAsia="仿宋_GB2312" w:hint="eastAsia"/>
          <w:sz w:val="30"/>
          <w:szCs w:val="30"/>
        </w:rPr>
        <w:br/>
        <w:t xml:space="preserve">　　人员经费1,058,512.00元，主要包括：基本工资、津贴补贴、绩效工资、机关事业单位基本养老保险缴费、职业年金缴费、职工基本医疗保险缴费、其他社会保障缴费、住房公积金、医疗费、奖励金。</w:t>
      </w:r>
      <w:r>
        <w:rPr>
          <w:rFonts w:ascii="仿宋_GB2312" w:eastAsia="仿宋_GB2312" w:hint="eastAsia"/>
          <w:sz w:val="30"/>
          <w:szCs w:val="30"/>
        </w:rPr>
        <w:br/>
        <w:t xml:space="preserve">　　公用经费21,711.00元，主要包括：工会经费、福利费。</w:t>
      </w:r>
    </w:p>
    <w:p w14:paraId="3BC7551A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14:paraId="6918915F" w14:textId="77777777" w:rsidR="005F3075" w:rsidRDefault="0000000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2024年一般公共预算“三公”经费安排0.00元，与2023年预算相比增加（减少）0.00元，主要原因是本部门一般公共预算未安排“三公”经费。具体情况：</w:t>
      </w:r>
      <w:r>
        <w:rPr>
          <w:rFonts w:ascii="仿宋_GB2312" w:eastAsia="仿宋_GB2312" w:hint="eastAsia"/>
          <w:sz w:val="30"/>
          <w:szCs w:val="30"/>
        </w:rPr>
        <w:br/>
        <w:t xml:space="preserve">　　一、2024年因公出国（境）费预算0.00元，与2023年预算相比增加（减少）0.00元，主要原因是本部门一般公共预算未安排“因公出国（境）”费。</w:t>
      </w:r>
      <w:r>
        <w:rPr>
          <w:rFonts w:ascii="仿宋_GB2312" w:eastAsia="仿宋_GB2312" w:hint="eastAsia"/>
          <w:sz w:val="30"/>
          <w:szCs w:val="30"/>
        </w:rPr>
        <w:br/>
        <w:t xml:space="preserve">　　二、2024年公务用车购置及运行费预算0.00元，其中公务用车运行费0.00元，与2023年预算相比增加（减少）0.00元，主要原</w:t>
      </w:r>
      <w:r>
        <w:rPr>
          <w:rFonts w:ascii="仿宋_GB2312" w:eastAsia="仿宋_GB2312" w:hint="eastAsia"/>
          <w:sz w:val="30"/>
          <w:szCs w:val="30"/>
        </w:rPr>
        <w:lastRenderedPageBreak/>
        <w:t>因是本部门一般公共预算未安排“公务用车运行”费；公务用车购置费0.00元，与2023年预算相比增加（减少）0.00元，主要原因是本部门一般公共预算未安排“公务用车购置”费。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  <w:t xml:space="preserve">　　三、2024年公务接待费预算0.00元，与2023年预算相比增加（减少）0.00元，主要原因是本部门一般公共预算未安排“公务接待”费。</w:t>
      </w:r>
    </w:p>
    <w:p w14:paraId="6E8DE764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14:paraId="54F2C729" w14:textId="77777777" w:rsidR="005F3075" w:rsidRDefault="00000000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2024年天津市河北区市场监管局12315投诉举报中心预算中没有使用政府性基金预算安排的支出。</w:t>
      </w: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bookmarkStart w:id="11" w:name="_Toc78784578"/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00CF5607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14:paraId="2D23EDC3" w14:textId="77777777" w:rsidR="005F3075" w:rsidRDefault="00000000">
      <w:pPr>
        <w:spacing w:line="600" w:lineRule="exact"/>
        <w:ind w:firstLineChars="200" w:firstLine="602"/>
      </w:pP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2024年天津市河北区市场监管局12315投诉举报中心预算中没有使用国有资本经营预算预算安排的支出。</w:t>
      </w: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5665138D" w14:textId="77777777" w:rsidR="005F3075" w:rsidRDefault="0000000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14:paraId="7EABF906" w14:textId="77777777" w:rsidR="005F3075" w:rsidRDefault="0000000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14:paraId="267D59CF" w14:textId="77777777" w:rsidR="005F3075" w:rsidRDefault="00000000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天津市河北区市场监管局12315投诉举报中心2024年未安排机关运行经费预算。</w:t>
      </w:r>
    </w:p>
    <w:p w14:paraId="31EB3324" w14:textId="77777777" w:rsidR="005F3075" w:rsidRDefault="0000000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14:paraId="2715B6DC" w14:textId="77777777" w:rsidR="005F3075" w:rsidRDefault="00000000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天津市河北区市场监管局12315投诉举报中心2024年未安排政府采购预算。</w:t>
      </w:r>
    </w:p>
    <w:p w14:paraId="0714D40B" w14:textId="77777777" w:rsidR="005F3075" w:rsidRDefault="0000000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lastRenderedPageBreak/>
        <w:t>（三）国有资产占用情况。</w:t>
      </w:r>
    </w:p>
    <w:p w14:paraId="45174D5D" w14:textId="77777777" w:rsidR="005F3075" w:rsidRDefault="00000000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2023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14:paraId="29FFB870" w14:textId="77777777" w:rsidR="005F3075" w:rsidRDefault="0000000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14:paraId="52535762" w14:textId="77777777" w:rsidR="005F3075" w:rsidRDefault="00000000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5F3075" w:rsidSect="00D525A2"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本部门2024年实行绩效目标管理的项目0个，涉及预算金额0.00元。</w:t>
      </w:r>
    </w:p>
    <w:p w14:paraId="624C3B5E" w14:textId="77777777" w:rsidR="005F3075" w:rsidRDefault="005F3075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14:paraId="218E6D27" w14:textId="77777777" w:rsidR="005F3075" w:rsidRDefault="00000000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14:paraId="6FFE2923" w14:textId="77777777" w:rsidR="005F3075" w:rsidRDefault="005F3075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047D17DC" w14:textId="77777777" w:rsidR="005F3075" w:rsidRDefault="0000000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4E08F504" w14:textId="77777777" w:rsidR="005F3075" w:rsidRDefault="0000000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14:paraId="48AC66BB" w14:textId="77777777" w:rsidR="005F3075" w:rsidRDefault="00000000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14:paraId="18EDEA54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7A435C8C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0542645E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5F112737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301A443F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7AB8E180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21AFE9AE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74A48D8D" w14:textId="77777777" w:rsidR="005F3075" w:rsidRDefault="005F307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14:paraId="67D75627" w14:textId="77777777" w:rsidR="005F3075" w:rsidRDefault="00000000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  2024年部门预算表</w:t>
      </w:r>
    </w:p>
    <w:p w14:paraId="4B1100CA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14:paraId="6658316D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14:paraId="606D1FF3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14:paraId="556FA90F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14:paraId="37B580FD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14:paraId="492229E6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14:paraId="3EAE3B0A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14:paraId="3D1BCA58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14:paraId="6E2E7865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14:paraId="07CDA026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14:paraId="7685832E" w14:textId="77777777" w:rsidR="005F3075" w:rsidRDefault="00000000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14:paraId="7B067072" w14:textId="75CC6226" w:rsidR="005F3075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</w:t>
      </w:r>
      <w:r w:rsidR="009446C3" w:rsidRPr="009446C3">
        <w:rPr>
          <w:rFonts w:ascii="仿宋_GB2312" w:eastAsia="仿宋_GB2312" w:hAnsi="仿宋_GB2312" w:cs="仿宋_GB2312" w:hint="eastAsia"/>
          <w:sz w:val="30"/>
          <w:szCs w:val="30"/>
        </w:rPr>
        <w:t>单位（部门）</w:t>
      </w:r>
      <w:r>
        <w:rPr>
          <w:rFonts w:ascii="仿宋_GB2312" w:eastAsia="仿宋_GB2312" w:hAnsi="仿宋_GB2312" w:cs="仿宋_GB2312" w:hint="eastAsia"/>
          <w:sz w:val="30"/>
          <w:szCs w:val="30"/>
        </w:rPr>
        <w:t>2024年一般公共预算“三公”经费支出情况表为空表”。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　　2.“本</w:t>
      </w:r>
      <w:r w:rsidR="009446C3" w:rsidRPr="009446C3">
        <w:rPr>
          <w:rFonts w:ascii="仿宋_GB2312" w:eastAsia="仿宋_GB2312" w:hAnsi="仿宋_GB2312" w:cs="仿宋_GB2312" w:hint="eastAsia"/>
          <w:sz w:val="30"/>
          <w:szCs w:val="30"/>
        </w:rPr>
        <w:t>单位（部门）</w:t>
      </w:r>
      <w:r>
        <w:rPr>
          <w:rFonts w:ascii="仿宋_GB2312" w:eastAsia="仿宋_GB2312" w:hAnsi="仿宋_GB2312" w:cs="仿宋_GB2312" w:hint="eastAsia"/>
          <w:sz w:val="30"/>
          <w:szCs w:val="30"/>
        </w:rPr>
        <w:t>2024年政府性基金预算支出情况表为空表”。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　　3.“本</w:t>
      </w:r>
      <w:r w:rsidR="009446C3" w:rsidRPr="009446C3">
        <w:rPr>
          <w:rFonts w:ascii="仿宋_GB2312" w:eastAsia="仿宋_GB2312" w:hAnsi="仿宋_GB2312" w:cs="仿宋_GB2312" w:hint="eastAsia"/>
          <w:sz w:val="30"/>
          <w:szCs w:val="30"/>
        </w:rPr>
        <w:t>单位（部门）</w:t>
      </w:r>
      <w:r>
        <w:rPr>
          <w:rFonts w:ascii="仿宋_GB2312" w:eastAsia="仿宋_GB2312" w:hAnsi="仿宋_GB2312" w:cs="仿宋_GB2312" w:hint="eastAsia"/>
          <w:sz w:val="30"/>
          <w:szCs w:val="30"/>
        </w:rPr>
        <w:t>2024年国有资本经营预算支出情况表为空表”。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　　4.“本</w:t>
      </w:r>
      <w:r w:rsidR="009446C3" w:rsidRPr="009446C3">
        <w:rPr>
          <w:rFonts w:ascii="仿宋_GB2312" w:eastAsia="仿宋_GB2312" w:hAnsi="仿宋_GB2312" w:cs="仿宋_GB2312" w:hint="eastAsia"/>
          <w:sz w:val="30"/>
          <w:szCs w:val="30"/>
        </w:rPr>
        <w:t>单位（部门）</w:t>
      </w:r>
      <w:r>
        <w:rPr>
          <w:rFonts w:ascii="仿宋_GB2312" w:eastAsia="仿宋_GB2312" w:hAnsi="仿宋_GB2312" w:cs="仿宋_GB2312" w:hint="eastAsia"/>
          <w:sz w:val="30"/>
          <w:szCs w:val="30"/>
        </w:rPr>
        <w:t>2024年项目支出表为空表”。</w:t>
      </w:r>
    </w:p>
    <w:p w14:paraId="4114C59E" w14:textId="77777777" w:rsidR="005F3075" w:rsidRDefault="005F3075">
      <w:pPr>
        <w:spacing w:line="560" w:lineRule="exact"/>
        <w:rPr>
          <w:rFonts w:eastAsia="楷体"/>
          <w:sz w:val="30"/>
          <w:szCs w:val="30"/>
        </w:rPr>
      </w:pPr>
    </w:p>
    <w:p w14:paraId="54EE1025" w14:textId="77777777" w:rsidR="005F3075" w:rsidRDefault="00000000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R="005F3075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E189" w14:textId="77777777" w:rsidR="00D525A2" w:rsidRDefault="00D525A2">
      <w:pPr>
        <w:spacing w:line="240" w:lineRule="auto"/>
      </w:pPr>
      <w:r>
        <w:separator/>
      </w:r>
    </w:p>
  </w:endnote>
  <w:endnote w:type="continuationSeparator" w:id="0">
    <w:p w14:paraId="2410E684" w14:textId="77777777" w:rsidR="00D525A2" w:rsidRDefault="00D52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6E5B" w14:textId="77777777" w:rsidR="005F3075" w:rsidRDefault="00000000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14:paraId="113A84F5" w14:textId="77777777" w:rsidR="005F3075" w:rsidRDefault="005F307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11D" w14:textId="77777777" w:rsidR="005F3075" w:rsidRDefault="005F3075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6666" w14:textId="77777777" w:rsidR="005F3075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 w14:paraId="63723862" w14:textId="77777777" w:rsidR="005F3075" w:rsidRDefault="005F307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CD21" w14:textId="77777777" w:rsidR="00D525A2" w:rsidRDefault="00D525A2">
      <w:pPr>
        <w:spacing w:line="240" w:lineRule="auto"/>
      </w:pPr>
      <w:r>
        <w:separator/>
      </w:r>
    </w:p>
  </w:footnote>
  <w:footnote w:type="continuationSeparator" w:id="0">
    <w:p w14:paraId="6FF34EB6" w14:textId="77777777" w:rsidR="00D525A2" w:rsidRDefault="00D52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D919" w14:textId="77777777" w:rsidR="005F3075" w:rsidRDefault="005F307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075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6C3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154E2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25A2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E7D8E"/>
  <w15:docId w15:val="{6EB5D981-DC4C-468E-B2D6-D56481FF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a5"/>
    <w:autoRedefine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9">
    <w:name w:val="page number"/>
    <w:autoRedefine/>
    <w:qFormat/>
  </w:style>
  <w:style w:type="character" w:customStyle="1" w:styleId="10">
    <w:name w:val="标题 1 字符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a5">
    <w:name w:val="批注框文本 字符"/>
    <w:link w:val="a4"/>
    <w:autoRedefine/>
    <w:qFormat/>
    <w:rPr>
      <w:sz w:val="18"/>
      <w:szCs w:val="18"/>
    </w:rPr>
  </w:style>
  <w:style w:type="character" w:customStyle="1" w:styleId="a7">
    <w:name w:val="页脚 字符"/>
    <w:link w:val="a6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a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635</Words>
  <Characters>3625</Characters>
  <Application>Microsoft Office Word</Application>
  <DocSecurity>0</DocSecurity>
  <Lines>30</Lines>
  <Paragraphs>8</Paragraphs>
  <ScaleCrop>false</ScaleCrop>
  <Company>微软中国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rui liu</cp:lastModifiedBy>
  <cp:revision>9</cp:revision>
  <cp:lastPrinted>2022-01-18T17:13:00Z</cp:lastPrinted>
  <dcterms:created xsi:type="dcterms:W3CDTF">2019-01-31T15:44:00Z</dcterms:created>
  <dcterms:modified xsi:type="dcterms:W3CDTF">2024-03-26T03:08:00Z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