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F9" w:rsidRPr="006E39F9" w:rsidRDefault="006E39F9" w:rsidP="006E39F9">
      <w:pPr>
        <w:widowControl/>
        <w:jc w:val="center"/>
        <w:rPr>
          <w:rFonts w:ascii="微软雅黑" w:eastAsia="微软雅黑" w:hAnsi="微软雅黑" w:cs="宋体"/>
          <w:b/>
          <w:bCs/>
          <w:color w:val="3C3C3C"/>
          <w:kern w:val="0"/>
          <w:sz w:val="30"/>
          <w:szCs w:val="30"/>
        </w:rPr>
      </w:pPr>
      <w:r w:rsidRPr="006E39F9">
        <w:rPr>
          <w:rFonts w:ascii="微软雅黑" w:eastAsia="微软雅黑" w:hAnsi="微软雅黑" w:cs="宋体" w:hint="eastAsia"/>
          <w:b/>
          <w:bCs/>
          <w:color w:val="3C3C3C"/>
          <w:kern w:val="0"/>
          <w:sz w:val="30"/>
          <w:szCs w:val="30"/>
        </w:rPr>
        <w:t>本市进一步完善企业职工养老保险关系转移接续政策</w:t>
      </w:r>
    </w:p>
    <w:p w:rsidR="00375583" w:rsidRDefault="00375583" w:rsidP="00375583">
      <w:pPr>
        <w:widowControl/>
        <w:wordWrap w:val="0"/>
        <w:spacing w:line="600" w:lineRule="exact"/>
        <w:ind w:firstLineChars="200" w:firstLine="360"/>
        <w:jc w:val="left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</w:p>
    <w:p w:rsidR="006E39F9" w:rsidRPr="006E39F9" w:rsidRDefault="006E39F9" w:rsidP="00375583">
      <w:pPr>
        <w:widowControl/>
        <w:wordWrap w:val="0"/>
        <w:spacing w:line="60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近日，本市出台《天津市城镇企业职工基本养老保险关系转移接续实施办法》，进一步</w:t>
      </w:r>
      <w:proofErr w:type="gramStart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畅通企业</w:t>
      </w:r>
      <w:proofErr w:type="gramEnd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职工养老保险关系</w:t>
      </w:r>
      <w:bookmarkStart w:id="0" w:name="_GoBack"/>
      <w:bookmarkEnd w:id="0"/>
      <w:proofErr w:type="gramStart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的转续通道</w:t>
      </w:r>
      <w:proofErr w:type="gramEnd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确保参保人员在各地缴费权益计算的连续性，促进人力资源的合理配置和有序流动。《实施办法》重点解决了养老保险关系转入本市可能遇到的7类关键问题：一是明确了5类人员可以将养老保险关系转入本市；二是明确了5种待遇领取地和3种缴费延长地为本市的人员类别；三是厘清了3类人员档案接收部门的职责；四是明确区分了本市和外省市视同缴费年限；五是规范了一次性缴费的转移程序；六是畅通了军人和未就业随军配偶养老保险</w:t>
      </w:r>
      <w:proofErr w:type="gramStart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关系转续途径</w:t>
      </w:r>
      <w:proofErr w:type="gramEnd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；七是建立了引进人才转移接续绿色通道，进一步优化我市引才环境。《实施办法》在</w:t>
      </w:r>
      <w:proofErr w:type="gramStart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准确落实</w:t>
      </w:r>
      <w:proofErr w:type="gramEnd"/>
      <w:r w:rsidRPr="006E39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国家政策要求的同时，将本市相关政策措施进行了全面的梳理整合，减少政策“碎片化”；将国家要求进行了“天津翻译”，通过政策“本地化”确保惠民举措无缝衔接、平稳落地。</w:t>
      </w:r>
    </w:p>
    <w:p w:rsidR="00520CCF" w:rsidRPr="006E39F9" w:rsidRDefault="00520CCF"/>
    <w:sectPr w:rsidR="00520CCF" w:rsidRPr="006E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EC" w:rsidRDefault="00FF2FEC" w:rsidP="00375583">
      <w:r>
        <w:separator/>
      </w:r>
    </w:p>
  </w:endnote>
  <w:endnote w:type="continuationSeparator" w:id="0">
    <w:p w:rsidR="00FF2FEC" w:rsidRDefault="00FF2FEC" w:rsidP="0037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EC" w:rsidRDefault="00FF2FEC" w:rsidP="00375583">
      <w:r>
        <w:separator/>
      </w:r>
    </w:p>
  </w:footnote>
  <w:footnote w:type="continuationSeparator" w:id="0">
    <w:p w:rsidR="00FF2FEC" w:rsidRDefault="00FF2FEC" w:rsidP="0037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F9"/>
    <w:rsid w:val="00375583"/>
    <w:rsid w:val="00520CCF"/>
    <w:rsid w:val="006E39F9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2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E4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3</cp:revision>
  <cp:lastPrinted>2017-11-29T06:45:00Z</cp:lastPrinted>
  <dcterms:created xsi:type="dcterms:W3CDTF">2017-11-28T06:28:00Z</dcterms:created>
  <dcterms:modified xsi:type="dcterms:W3CDTF">2017-11-29T06:45:00Z</dcterms:modified>
</cp:coreProperties>
</file>