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.0 -->
  <w:body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BC49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天津市河北区民政事务中心（天津市河北区未成年人救助保护中心）</w:t>
      </w:r>
    </w:p>
    <w:p w:rsidR="00BC499A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 w:rsidR="00296995"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BC499A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BC499A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BC499A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BC499A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BC499A">
      <w:pPr>
        <w:spacing w:line="600" w:lineRule="exact"/>
        <w:rPr>
          <w:rFonts w:ascii="黑体" w:eastAsia="黑体"/>
          <w:sz w:val="30"/>
          <w:szCs w:val="30"/>
        </w:rPr>
      </w:pP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  概 况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第二部分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  名词解释</w:t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第四部分  </w:t>
      </w:r>
      <w:r w:rsidR="00230EE4">
        <w:rPr>
          <w:rFonts w:ascii="仿宋_GB2312" w:eastAsia="仿宋_GB2312" w:hint="eastAsia"/>
          <w:b/>
          <w:sz w:val="30"/>
          <w:szCs w:val="30"/>
        </w:rPr>
        <w:t>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五、一般公共预算支出情况表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BC499A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BC499A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9B2E42">
        <w:rPr>
          <w:rFonts w:ascii="仿宋_GB2312" w:eastAsia="仿宋_GB2312"/>
          <w:b/>
          <w:sz w:val="30"/>
          <w:szCs w:val="30"/>
        </w:rPr>
        <w:fldChar w:fldCharType="begin"/>
      </w:r>
      <w:r w:rsidR="00296995"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 w:rsidRPr="009B2E42">
        <w:rPr>
          <w:rFonts w:ascii="仿宋_GB2312" w:eastAsia="仿宋_GB2312"/>
          <w:b/>
          <w:sz w:val="30"/>
          <w:szCs w:val="30"/>
        </w:rPr>
        <w:fldChar w:fldCharType="separate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BC499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BC499A">
      <w:pPr>
        <w:pStyle w:val="TOC2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w:type="default" r:id="rId4"/>
          <w:footerReference w:type="even" r:id="rId5"/>
          <w:footerReference w:type="default" r:id="rId6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t>第一部分  概 况</w:t>
      </w:r>
      <w:bookmarkEnd w:id="0"/>
    </w:p>
    <w:p w:rsidR="00BC499A">
      <w:pPr>
        <w:spacing w:line="600" w:lineRule="exact"/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负责指导、监督本行政区域内低收入家庭经济状况核对工作；向市民政部门提交经济状况信息核对申请材料；负责区内福利彩票发行工作；负责推动落实全区孤儿和困境儿童的福利及保护工作。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</w:t>
      </w:r>
      <w:r w:rsidR="00296995">
        <w:rPr>
          <w:rFonts w:ascii="仿宋_GB2312" w:eastAsia="仿宋_GB2312" w:hint="eastAsia"/>
          <w:sz w:val="30"/>
          <w:szCs w:val="30"/>
        </w:rPr>
        <w:t>内设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1</w:t>
      </w:r>
      <w:r w:rsidR="00296995">
        <w:rPr>
          <w:rFonts w:ascii="仿宋_GB2312" w:eastAsia="仿宋_GB2312" w:hint="eastAsia"/>
          <w:sz w:val="30"/>
          <w:szCs w:val="30"/>
        </w:rPr>
        <w:t>个预算单位。</w:t>
      </w:r>
    </w:p>
    <w:p w:rsidR="00BC499A">
      <w:pPr>
        <w:autoSpaceDE w:val="0"/>
        <w:autoSpaceDN w:val="0"/>
        <w:spacing w:line="5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</w:t>
      </w:r>
      <w:r w:rsidR="00461215"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</w:t>
      </w:r>
      <w:r w:rsidR="00230EE4"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BC499A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>
          <w:footerReference w:type="default" r:id="rId7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1.天津市河北区民政事务中心（天津市河北区未成年人救助保护中心）</w:t>
      </w:r>
    </w:p>
    <w:p w:rsidR="00BC499A">
      <w:pPr>
        <w:pStyle w:val="Heading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t xml:space="preserve">第二部分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民政事务中心（天津市河北区未成年人救助保护中心）所有收入和支出均纳入部门预算管理。收入包括：一般公共预算拨款收入2,000,881.00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社会保障和就业支出1,868,241.00元、卫生健康支出132,640.00元。天津市河北区民政事务中心（天津市河北区未成年人救助保护中心）2025年收支总预算2,000,881.00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2025年部门预算收入2,000,881.00元，与2024年预算相比增加435,350.00元，主要原因是在职人员增加。其中：上年结转结余0.00元，占0.00%；一般公共预算2,000,881.00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2025年支出预算2,000,881.00元，与2024年预算相比增加435,350.00元，主要原因是在职人员增加。其中：基本支出2,000,881.00元，占100.00%；项目支出0.00元，占0.00%；事业单位经营支出0.00元，占0.00%；上缴上级支出0.00元，占0.00%；对附属单位补助支出0.00元，占0.00%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2025年财政拨款收入预算2,000,881.00元，与2024年预算相比增加435,350.00元，主要原因是在职人员增加。收入包括：一般公共预算拨款收入2,000,881.00元、政府性基金预算拨款收入0.00元、国有资本经营预算拨款收入0.00元、上年财政结转结余0.00元。2025年财政拨款支出预算2,000,881.00元，与2024年预算相比增加435,350.00元，主要原因是在职人员增加。支出包括：社会保障和就业支出1,868,241.00元、卫生健康支出132,640.00元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天津市河北区民政事务中心（天津市河北区未成年人救助保护中心）2025年一般公共预算支出2,000,881.00元，与2024年预算相比增加435,350.00元，主要原因是在职人员增加。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1.“社会保障和就业支出（类）”1,868,241.00元，与2024年预算相比增加403,739.00元，主要原因是在职人员增加。其中：</w:t>
        <w:br/>
        <w:t>　　“民政管理事务（款）”1,624,640.00元，包括：“其他民政管理事务支出（项）”1,624,640.00元，主要用于支出在职人员经费和办公经费。</w:t>
        <w:br/>
        <w:t>　　“行政事业单位养老支出（款）”243,601.00元，包括：“事业单位离退休（项）”38,224.00元，主要用于支出退休人员补贴。“机关事业单位基本养老保险缴费支出（项）”136,918.00元，主要用于支出在职人员基本养老保险。“机关事业单位职业年金缴费支出（项）”68,459.00元，主要用于支出在职人员职业年金。</w:t>
        <w:br/>
        <w:t>　　2.“卫生健康支出（类）”132,640.00元，与2024年预算相比增加31,611.00元，主要原因是在职人员增加。其中：</w:t>
        <w:br/>
        <w:t>　　“行政事业单位医疗（款）”132,640.00元，包括：“事业单位医疗（项）”89,853.00元，主要用于支出在职人员医疗保险。“其他行政事业单位医疗支出（项）”42,787.00元，主要用于支出在职人员医疗保险。</w:t>
      </w:r>
    </w:p>
    <w:p w:rsidR="00BC499A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天津市河北区民政事务中心（天津市河北区未成年人救助保护中心）一般公共预算基本支出2,000,881.00元，与2024年预算相比增加435,350.00元，主要原因是在职人员增加。其中：</w:t>
        <w:br/>
        <w:t>　　人员经费1,877,700.00元，主要包括：基本工资、津贴补贴、绩效工资、机关事业单位基本养老保险缴费、职业年金缴费、职工基本医疗保险缴费、其他社会保障缴费、住房公积金、医疗费、退休费。</w:t>
        <w:br/>
        <w:t>　　公用经费123,181.00元，主要包括：办公费、水费、电费、邮电费、差旅费、维修(护)费、培训费、工会经费、福利费。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BC499A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2025年一般公共预算“三公”经费安排0.00元，与2024年预算相比增加（减少）0.00元，主要原因是本部门一般公共预算未安排“三公”经费。具体情况：</w:t>
        <w:br/>
        <w:t>　　一、2025年因公出国（境）费预算0.00元，与2024年预算相比增加（减少）0.00元，主要原因是本部门一般公共预算未安排“因公出国（境）”费。</w:t>
        <w:br/>
        <w:t>　　二、2025年公务用车购置及运行费预算0.00元，其中公务用车运行费0.00元，与2024年预算相比增加（减少）0.00元，主要原因是本部门一般公共预算未安排“公务用车运行”费；公务用车购置费0.00元，与2024年预算相比增加（减少）0.00元，主要原因是本部门一般公共预算未安排“公务用车购置”费。</w:t>
        <w:br/>
        <w:t>　　三、2025年公务接待费预算0.00元，与2024年预算相比增加（减少）0.00元，主要原因是本部门一般公共预算未安排“公务接待”费。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BC499A" w:rsidP="00375EB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bookmarkStart w:id="11" w:name="_Toc78784578"/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2025年天津市河北区民政事务中心（天津市河北区未成年人救助保护中心）预算中没有使用政府性基金预算安排的支出。</w:t>
      </w:r>
      <w:r w:rsidRPr="00375EBB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BC499A" w:rsidP="00610A8C">
      <w:pPr>
        <w:spacing w:line="600" w:lineRule="exact"/>
        <w:ind w:firstLine="600" w:firstLineChars="200"/>
      </w:pP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2025年天津市河北区民政事务中心（天津市河北区未成年人救助保护中心）预算中没有使用国有资本经营预算安排的支出。</w:t>
      </w:r>
      <w:r w:rsidRPr="00610A8C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C499A">
      <w:pPr>
        <w:pStyle w:val="Heading2"/>
        <w:spacing w:line="600" w:lineRule="exact"/>
        <w:ind w:firstLine="600" w:firstLineChars="2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本部门2025年未安排进运行经费预算。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本部门2025年未安排政府采购预算。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BC499A">
      <w:pPr>
        <w:spacing w:line="58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2024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 w:rsidR="00BC499A">
      <w:pPr>
        <w:spacing w:line="600" w:lineRule="exact"/>
        <w:ind w:left="480" w:leftChars="20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BC499A">
      <w:pPr>
        <w:spacing w:line="580" w:lineRule="exact"/>
        <w:ind w:firstLine="600" w:firstLineChars="200"/>
        <w:jc w:val="both"/>
        <w:rPr>
          <w:rFonts w:ascii="仿宋_GB2312" w:eastAsia="仿宋_GB2312" w:hAnsi="仿宋_GB2312" w:cs="仿宋_GB2312"/>
          <w:sz w:val="30"/>
          <w:szCs w:val="30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本部门2025年实行绩效目标管理的项目0个，涉及预算金额0.00元。</w:t>
      </w:r>
    </w:p>
    <w:p w:rsidR="00BC499A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bookmarkStart w:id="13" w:name="_Toc78784585"/>
      <w:r>
        <w:rPr>
          <w:rFonts w:ascii="黑体" w:eastAsia="黑体" w:hAnsi="黑体" w:cs="黑体" w:hint="eastAsia"/>
        </w:rPr>
        <w:t>第三部分  名词解释</w:t>
      </w:r>
      <w:bookmarkEnd w:id="13"/>
    </w:p>
    <w:p w:rsidR="00BC499A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C499A"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 w:rsidR="00BC499A">
      <w:pPr>
        <w:pStyle w:val="Heading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第四部分  </w:t>
      </w:r>
      <w:r w:rsidR="00230EE4">
        <w:rPr>
          <w:rFonts w:ascii="黑体" w:eastAsia="黑体" w:hAnsi="黑体" w:cs="黑体" w:hint="eastAsia"/>
        </w:rPr>
        <w:t>2025</w:t>
      </w:r>
      <w:r>
        <w:rPr>
          <w:rFonts w:ascii="黑体" w:eastAsia="黑体" w:hAnsi="黑体" w:cs="黑体" w:hint="eastAsia"/>
        </w:rPr>
        <w:t>年部门预算表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</w:t>
      </w:r>
      <w:bookmarkStart w:id="14" w:name="_GoBack"/>
      <w:bookmarkEnd w:id="14"/>
      <w:r>
        <w:rPr>
          <w:rFonts w:ascii="楷体_GB2312" w:eastAsia="楷体_GB2312" w:hint="eastAsia"/>
          <w:b/>
          <w:sz w:val="30"/>
          <w:szCs w:val="30"/>
        </w:rPr>
        <w:t>《一般公共预算“三公”经费支出情况表》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BC499A">
      <w:pPr>
        <w:spacing w:line="560" w:lineRule="exact"/>
        <w:ind w:left="480" w:leftChars="2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BC499A">
      <w:pPr>
        <w:spacing w:line="560" w:lineRule="exact"/>
        <w:ind w:firstLine="600" w:firstLineChars="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1.“本部门2025年一般公共预算“三公”经费支出情况表为空表”。</w:t>
        <w:br/>
        <w:t>　　2.“本部门2025年政府性基金预算支出情况表为空表”。</w:t>
        <w:br/>
        <w:t>　　3.“本部门2025年国有资本经营预算支出情况表为空表”。</w:t>
        <w:br/>
        <w:t>　　4.“本部门2025年项目支出表为空表”。</w:t>
      </w:r>
    </w:p>
    <w:p w:rsidR="00BC499A">
      <w:pPr>
        <w:spacing w:line="560" w:lineRule="exact"/>
        <w:rPr>
          <w:rFonts w:eastAsia="楷体"/>
          <w:sz w:val="30"/>
          <w:szCs w:val="30"/>
        </w:rPr>
      </w:pPr>
    </w:p>
    <w:p w:rsidR="00BC499A"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Sect="00BC499A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 w:rsidR="00296995"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BC499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Footer"/>
      <w:jc w:val="center"/>
    </w:pPr>
    <w:r>
      <w:fldChar w:fldCharType="begin"/>
    </w:r>
    <w:r w:rsidR="00296995">
      <w:instrText>PAGE   \* MERGEFORMAT</w:instrText>
    </w:r>
    <w:r>
      <w:fldChar w:fldCharType="separate"/>
    </w:r>
    <w:r w:rsidRPr="002E7B1F" w:rsidR="002E7B1F">
      <w:rPr>
        <w:noProof/>
        <w:lang w:val="zh-CN"/>
      </w:rPr>
      <w:t>-</w:t>
    </w:r>
    <w:r w:rsidR="002E7B1F">
      <w:rPr>
        <w:noProof/>
      </w:rPr>
      <w:t xml:space="preserve"> 1 -</w:t>
    </w:r>
    <w:r>
      <w:fldChar w:fldCharType="end"/>
    </w:r>
  </w:p>
  <w:p w:rsidR="00BC499A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w:docVars>
    <w:docVar w:name="commondata" w:val="eyJoZGlkIjoiNTA1YjE1OTI0ZjFiOGFhMWM4MWNjMzdkNjI3N2RmY2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BC499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1Char"/>
    <w:autoRedefine/>
    <w:uiPriority w:val="9"/>
    <w:qFormat/>
    <w:rsid w:val="00BC499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x-none"/>
    </w:rPr>
  </w:style>
  <w:style w:type="paragraph" w:styleId="Heading2">
    <w:name w:val="heading 2"/>
    <w:basedOn w:val="Normal"/>
    <w:next w:val="Normal"/>
    <w:link w:val="2Char"/>
    <w:uiPriority w:val="9"/>
    <w:qFormat/>
    <w:rsid w:val="00BC499A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autoRedefine/>
    <w:semiHidden/>
    <w:qFormat/>
    <w:rsid w:val="00BC499A"/>
    <w:pPr>
      <w:shd w:val="clear" w:color="auto" w:fill="000080"/>
    </w:pPr>
  </w:style>
  <w:style w:type="paragraph" w:styleId="BalloonText">
    <w:name w:val="Balloon Text"/>
    <w:basedOn w:val="Normal"/>
    <w:link w:val="Char"/>
    <w:autoRedefine/>
    <w:qFormat/>
    <w:rsid w:val="00BC499A"/>
    <w:pPr>
      <w:spacing w:line="240" w:lineRule="auto"/>
    </w:pPr>
    <w:rPr>
      <w:sz w:val="18"/>
      <w:szCs w:val="18"/>
      <w:lang w:val="x-none"/>
    </w:rPr>
  </w:style>
  <w:style w:type="paragraph" w:styleId="Footer">
    <w:name w:val="footer"/>
    <w:basedOn w:val="Normal"/>
    <w:link w:val="Char0"/>
    <w:autoRedefine/>
    <w:uiPriority w:val="99"/>
    <w:qFormat/>
    <w:rsid w:val="00BC49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x-none"/>
    </w:rPr>
  </w:style>
  <w:style w:type="paragraph" w:styleId="Header">
    <w:name w:val="header"/>
    <w:basedOn w:val="Normal"/>
    <w:autoRedefine/>
    <w:qFormat/>
    <w:rsid w:val="00B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499A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PageNumber">
    <w:name w:val="page number"/>
    <w:autoRedefine/>
    <w:qFormat/>
    <w:rsid w:val="00BC499A"/>
  </w:style>
  <w:style w:type="character" w:customStyle="1" w:styleId="1Char">
    <w:name w:val="标题 1 Char"/>
    <w:link w:val="Heading1"/>
    <w:autoRedefine/>
    <w:uiPriority w:val="9"/>
    <w:qFormat/>
    <w:rsid w:val="00BC49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Heading2"/>
    <w:autoRedefine/>
    <w:uiPriority w:val="9"/>
    <w:qFormat/>
    <w:rsid w:val="00BC499A"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BalloonText"/>
    <w:autoRedefine/>
    <w:qFormat/>
    <w:rsid w:val="00BC499A"/>
    <w:rPr>
      <w:sz w:val="18"/>
      <w:szCs w:val="18"/>
    </w:rPr>
  </w:style>
  <w:style w:type="character" w:customStyle="1" w:styleId="Char0">
    <w:name w:val="页脚 Char"/>
    <w:link w:val="Footer"/>
    <w:autoRedefine/>
    <w:uiPriority w:val="99"/>
    <w:qFormat/>
    <w:rsid w:val="00BC499A"/>
    <w:rPr>
      <w:sz w:val="18"/>
      <w:szCs w:val="18"/>
    </w:rPr>
  </w:style>
  <w:style w:type="paragraph" w:customStyle="1" w:styleId="CharChar">
    <w:name w:val="Char Char"/>
    <w:basedOn w:val="DocumentMap"/>
    <w:autoRedefine/>
    <w:qFormat/>
    <w:rsid w:val="00BC499A"/>
    <w:pPr>
      <w:adjustRightInd/>
      <w:spacing w:line="240" w:lineRule="auto"/>
      <w:jc w:val="both"/>
      <w:textAlignment w:val="auto"/>
    </w:pPr>
  </w:style>
  <w:style w:type="paragraph" w:styleId="ListParagraph">
    <w:name w:val="List Paragraph"/>
    <w:basedOn w:val="Normal"/>
    <w:autoRedefine/>
    <w:uiPriority w:val="34"/>
    <w:qFormat/>
    <w:rsid w:val="00BC499A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Windows 用户</cp:lastModifiedBy>
  <cp:revision>21</cp:revision>
  <cp:lastPrinted>2022-01-18T17:13:00Z</cp:lastPrinted>
  <dcterms:created xsi:type="dcterms:W3CDTF">2019-01-31T15:44:00Z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