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天津市河北区科技创新发展中心</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建立科技创新、科技金融、科技成果转化服务平台；推动区域科技企业创新和创意产业发展；协助开展新动能引育工作；推进创新载体培育、科技招商、科技人才、科技统计、自创区河北分园发展等工作；开展科技产业交流合作。</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天津市河北区科技创新发展中心</w:t>
      </w:r>
      <w:r w:rsidR="00296995">
        <w:rPr>
          <w:rFonts w:ascii="仿宋_GB2312" w:eastAsia="仿宋_GB2312" w:hint="eastAsia"/>
          <w:sz w:val="30"/>
          <w:szCs w:val="30"/>
        </w:rPr>
        <w:t>内设</w:t>
      </w:r>
      <w:r>
        <w:rPr>
          <w:rFonts w:ascii="仿宋_GB2312" w:eastAsia="仿宋_GB2312" w:hint="eastAsia"/>
          <w:sz w:val="30"/>
          <w:szCs w:val="30"/>
        </w:rPr>
        <w:t>0</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天津市河北区科技创新发展中心</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1.天津市河北区科技创新发展中心</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科技创新发展中心所有收入和支出均纳入部门预算管理。收入包括：一般公共预算拨款收入2,621,066.00元、政府性基金预算拨款收入0.00元、国有资本经营预算拨款收入0.00元、财政专户管理资金收入0.00元、事业收入0.00元、事业单位经营收入0.00元、上级补助收入0.00元、附属单位上缴收入0.00元、其他收入0.00元、上年结转结余0.00元；支出包括：科学技术支出2,153,473.00元、社会保障和就业支出289,815.00元、卫生健康支出177,778.00元。天津市河北区科技创新发展中心2025年收支总预算2,621,066.00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科技创新发展中心2025年部门预算收入2,621,066.00元，与2024年预算相比增加108,425.00元，主要原因是人员及公用经费增加。其中：上年结转结余0.00元，占0.00%；一般公共预算2,621,066.00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科技创新发展中心2025年支出预算2,621,066.00元，与2024年预算相比增加108,425.00元，主要原因是人员及公用经费增加。其中：基本支出2,621,066.00元，占100.00%；项目支出0.00元，占0.00%；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科技创新发展中心2025年财政拨款收入预算2,621,066.00元，与2024年预算相比增加108,425.00元，主要原因是人员及公用经费增加。收入包括：一般公共预算拨款收入2,621,066.00元、政府性基金预算拨款收入0.00元、国有资本经营预算拨款收入0.00元、上年财政结转结余0.00元。2025年财政拨款支出预算2,621,066.00元，与2024年预算相比增加108,425.00元，主要原因是人员及公用经费增加。支出包括：科学技术支出2,153,473.00元、社会保障和就业支出289,815.00元、卫生健康支出177,778.00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天津市河北区科技创新发展中心2025年一般公共预算支出2,621,066.00元，与2024年预算相比增加108,425.00元，主要原因是人员及公用经费增加。</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1.“科学技术支出（类）”2,153,473.00元，与2024年预算相比增加89,375.00元，主要原因是人员及公用经费增加。其中：</w:t>
        <w:br/>
        <w:t>　　“科学技术普及（款）”2,153,473.00元，包括：“其他科学技术普及支出（项）”2,153,473.00元，主要用于人员及公用支出。</w:t>
        <w:br/>
        <w:t>　　2.“社会保障和就业支出（类）”289,815.00元，与2024年预算相比增加9,869.00元，主要原因是人员支出增加及社保基数调整。其中：</w:t>
        <w:br/>
        <w:t>　　“行政事业单位养老支出（款）”289,815.00元，包括：“事业单位离退休（项）”14,547.00元，主要用于退休人员补贴；“机关事业单位基本养老保险缴费支出（项）”183,512.00元，主要用于养老保险缴费支出；“机关事业单位职业年金缴费支出（项）”91,756.00元，主要用于职业年金缴费支出。</w:t>
        <w:br/>
        <w:t>　　3.“卫生健康支出（类）”177,778.00元，与2024年预算相比增加9,181.00元，主要原因是人员医保基数调整。其中：</w:t>
        <w:br/>
        <w:t>　　“行政事业单位医疗（款）”177,778.00元，包括：“事业单位医疗（项）”120,430.00元，主要用于医疗保险等支出；“其他行政事业单位医疗支出（项）”57,348.00元，主要用于医疗保险等支出。</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天津市河北区科技创新发展中心一般公共预算基本支出2,621,066.00元，与2024年预算相比增加108,425.00元，主要原因是人员及公用支出增加。其中：</w:t>
        <w:br/>
        <w:t>　　人员经费2,483,022.00元，主要包括：基本工资、津贴补贴、绩效工资、机关事业单位基本养老保险缴费、职业年金缴费、职工基本医疗保险缴费、其他社会保障缴费、住房公积金、医疗费、退休费、奖励金。</w:t>
        <w:br/>
        <w:t>　　公用经费138,044.00元，主要包括：办公费、邮电费、物业管理费、差旅费、维修(护)费、培训费、工会经费、福利费。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br/>
        <w:t>　　一、2025年因公出国（境）费预算0.00元，与2024年预算相比增加（减少）0.00元，主要原因是本部门一般公共预算未安排“因公出国（境）”费。</w:t>
        <w:b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 xml:space="preserve"> </w:t>
      </w:r>
      <w:r>
        <w:rPr>
          <w:rFonts w:ascii="仿宋_GB2312" w:eastAsia="仿宋_GB2312" w:hint="eastAsia"/>
          <w:sz w:val="30"/>
          <w:szCs w:val="30"/>
        </w:rPr>
        <w:t>2025年天津市河北区科技创新发展中心预算中没有使用政府性基金预算安排的支出。</w:t>
      </w:r>
      <w:r w:rsidRPr="00375EBB">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2025年天津市河北区科技创新发展中心预算中没有使用国有资本经营预算安排的支出。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本部门2025年未安排机关运行经费预算。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本部门2025年未安排政府采购预算。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本部门2025年实行绩效目标管理的项目0个，涉及预算金额0.00元。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1.“本部门2025年一般公共预算“三公”经费支出情况表为空表”。</w:t>
        <w:br/>
        <w:t>　　2.“本部门2025年政府性基金预算支出情况表为空表”。</w:t>
        <w:br/>
        <w:t>　　3.“本部门2025年国有资本经营预算支出情况表为空表”。</w:t>
        <w:br/>
        <w:t>　　4.“本部门2025年项目支出表为空表”。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