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黑体"/>
          <w:w w:val="95"/>
          <w:sz w:val="44"/>
          <w:szCs w:val="44"/>
          <w:lang w:val="en-US" w:eastAsia="zh-CN"/>
        </w:rPr>
      </w:pPr>
      <w:r>
        <w:rPr>
          <w:rFonts w:hint="eastAsia" w:eastAsia="黑体"/>
          <w:w w:val="95"/>
          <w:sz w:val="44"/>
          <w:szCs w:val="44"/>
          <w:lang w:val="en-US" w:eastAsia="zh-CN"/>
        </w:rPr>
        <w:t xml:space="preserve">  </w:t>
      </w: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eastAsia="黑体"/>
          <w:w w:val="95"/>
          <w:sz w:val="44"/>
          <w:szCs w:val="44"/>
        </w:rPr>
      </w:pPr>
      <w:r>
        <w:rPr>
          <w:rFonts w:hint="eastAsia" w:eastAsia="黑体"/>
          <w:w w:val="95"/>
          <w:sz w:val="44"/>
          <w:szCs w:val="44"/>
        </w:rPr>
        <w:tab/>
      </w:r>
      <w:r>
        <w:rPr>
          <w:rFonts w:hint="eastAsia" w:eastAsia="黑体"/>
          <w:w w:val="95"/>
          <w:sz w:val="44"/>
          <w:szCs w:val="44"/>
        </w:rPr>
        <w:tab/>
      </w:r>
    </w:p>
    <w:p>
      <w:pPr>
        <w:spacing w:line="580" w:lineRule="exact"/>
        <w:jc w:val="center"/>
        <w:rPr>
          <w:rFonts w:eastAsia="黑体"/>
          <w:w w:val="95"/>
          <w:sz w:val="44"/>
          <w:szCs w:val="44"/>
        </w:rPr>
      </w:pPr>
    </w:p>
    <w:p>
      <w:pPr>
        <w:spacing w:line="240" w:lineRule="auto"/>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天津市河北区第十九幼儿园</w:t>
      </w:r>
    </w:p>
    <w:p>
      <w:pPr>
        <w:spacing w:line="240" w:lineRule="auto"/>
        <w:jc w:val="center"/>
        <w:rPr>
          <w:rFonts w:hint="eastAsia"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4</w:t>
      </w:r>
      <w:r>
        <w:rPr>
          <w:rFonts w:hint="eastAsia" w:ascii="黑体" w:hAnsi="黑体" w:eastAsia="黑体" w:cs="黑体"/>
          <w:sz w:val="48"/>
          <w:szCs w:val="48"/>
        </w:rPr>
        <w:t>年部门预算</w:t>
      </w:r>
    </w:p>
    <w:p>
      <w:pPr>
        <w:spacing w:line="240" w:lineRule="auto"/>
        <w:jc w:val="center"/>
        <w:rPr>
          <w:rFonts w:hint="eastAsia" w:ascii="方正小标宋简体" w:hAnsi="方正小标宋简体" w:eastAsia="方正小标宋简体" w:cs="方正小标宋简体"/>
          <w:w w:val="95"/>
          <w:sz w:val="48"/>
          <w:szCs w:val="48"/>
        </w:rPr>
      </w:pPr>
    </w:p>
    <w:p>
      <w:pPr>
        <w:spacing w:line="580" w:lineRule="exact"/>
        <w:jc w:val="center"/>
        <w:rPr>
          <w:rFonts w:hint="eastAsia" w:ascii="楷体_GB2312" w:eastAsia="楷体_GB2312"/>
          <w:sz w:val="36"/>
          <w:szCs w:val="36"/>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第二部分  202</w:t>
      </w:r>
      <w:r>
        <w:rPr>
          <w:rFonts w:hint="eastAsia" w:ascii="仿宋_GB2312" w:hAnsi="Times New Roman" w:eastAsia="仿宋_GB2312"/>
          <w:b/>
          <w:sz w:val="30"/>
          <w:szCs w:val="30"/>
          <w:lang w:val="en-US" w:eastAsia="zh-CN"/>
        </w:rPr>
        <w:t>4</w:t>
      </w:r>
      <w:r>
        <w:rPr>
          <w:rFonts w:hint="eastAsia" w:ascii="仿宋_GB2312" w:hAnsi="Times New Roman" w:eastAsia="仿宋_GB2312"/>
          <w:b/>
          <w:sz w:val="30"/>
          <w:szCs w:val="30"/>
        </w:rPr>
        <w:t>年部门预算情况说明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五、关于一般公共预算支出情况的说明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w:t>
      </w:r>
      <w:r>
        <w:rPr>
          <w:rFonts w:hint="eastAsia" w:ascii="仿宋_GB2312" w:hAnsi="Times New Roman" w:eastAsia="仿宋_GB2312"/>
          <w:b/>
          <w:sz w:val="30"/>
          <w:szCs w:val="30"/>
          <w:lang w:eastAsia="zh-CN"/>
        </w:rPr>
        <w:t>24</w:t>
      </w:r>
      <w:r>
        <w:rPr>
          <w:rFonts w:hint="eastAsia" w:ascii="仿宋_GB2312" w:hAnsi="Times New Roman" w:eastAsia="仿宋_GB2312"/>
          <w:b/>
          <w:sz w:val="30"/>
          <w:szCs w:val="30"/>
        </w:rPr>
        <w:t>年部门预算表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一、部门收支总体情况表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二、部门收入总体情况表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三、部门支出总体情况表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十、项目支出表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pPr>
        <w:spacing w:line="600" w:lineRule="exact"/>
        <w:jc w:val="both"/>
        <w:rPr>
          <w:rFonts w:hint="eastAsia" w:ascii="仿宋_GB2312" w:hAnsi="Times New Roman" w:eastAsia="仿宋_GB2312"/>
          <w:sz w:val="30"/>
          <w:szCs w:val="30"/>
        </w:rPr>
      </w:pPr>
      <w:r>
        <w:rPr>
          <w:rFonts w:ascii="仿宋_GB2312" w:hAnsi="Times New Roman" w:eastAsia="仿宋_GB2312"/>
          <w:sz w:val="30"/>
          <w:szCs w:val="30"/>
        </w:rPr>
        <w:fldChar w:fldCharType="end"/>
      </w: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eastAsia="黑体"/>
          <w:w w:val="95"/>
          <w:sz w:val="44"/>
          <w:szCs w:val="44"/>
        </w:rPr>
      </w:pPr>
    </w:p>
    <w:p>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hint="eastAsia" w:ascii="黑体" w:hAnsi="黑体" w:eastAsia="黑体" w:cs="黑体"/>
          <w:b w:val="0"/>
          <w:sz w:val="44"/>
          <w:szCs w:val="44"/>
        </w:rPr>
      </w:pPr>
      <w:bookmarkStart w:id="0" w:name="_Toc78784554"/>
      <w:r>
        <w:rPr>
          <w:rFonts w:hint="eastAsia" w:ascii="黑体" w:hAnsi="黑体" w:eastAsia="黑体" w:cs="黑体"/>
          <w:b w:val="0"/>
          <w:sz w:val="44"/>
          <w:szCs w:val="44"/>
        </w:rPr>
        <w:t>第一部分  概 况</w:t>
      </w:r>
      <w:bookmarkEnd w:id="0"/>
    </w:p>
    <w:p>
      <w:pPr>
        <w:spacing w:line="600" w:lineRule="exact"/>
        <w:rPr>
          <w:rFonts w:hint="eastAsia"/>
        </w:rPr>
      </w:pPr>
    </w:p>
    <w:p>
      <w:pPr>
        <w:pStyle w:val="3"/>
        <w:spacing w:line="600" w:lineRule="exact"/>
        <w:ind w:firstLine="602" w:firstLineChars="200"/>
        <w:rPr>
          <w:rFonts w:hint="eastAsia" w:ascii="黑体" w:hAnsi="黑体" w:eastAsia="黑体"/>
          <w:sz w:val="30"/>
          <w:szCs w:val="30"/>
        </w:rPr>
      </w:pPr>
      <w:bookmarkStart w:id="1" w:name="_Toc78784555"/>
      <w:r>
        <w:rPr>
          <w:rFonts w:hint="eastAsia" w:ascii="黑体" w:hAnsi="黑体" w:eastAsia="黑体"/>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hint="default" w:ascii="仿宋_GB2312" w:hAnsi="Times New Roman" w:eastAsia="仿宋_GB2312" w:cs="Times New Roman"/>
          <w:sz w:val="30"/>
          <w:szCs w:val="30"/>
          <w:lang w:val="en-US" w:eastAsia="zh-CN"/>
        </w:rPr>
      </w:pPr>
      <w:bookmarkStart w:id="2" w:name="_Toc78784556"/>
      <w:r>
        <w:rPr>
          <w:rFonts w:hint="eastAsia" w:ascii="仿宋_GB2312" w:hAnsi="Times New Roman" w:eastAsia="仿宋_GB2312" w:cs="Times New Roman"/>
          <w:sz w:val="30"/>
          <w:szCs w:val="30"/>
          <w:lang w:val="en-US" w:eastAsia="zh-CN"/>
        </w:rPr>
        <w:t>一、贯彻执行党和国家有关幼儿教育的方针、政策以及教育法规、规章，坚持正确的办园方向。执行上级的指示和决议；深化改革，强化管理，使各项工作程序化，规范化，制度化，不断提高保教水平。二、负责行政管理，教育教学、卫生保健、膳食、政治思想工作、职业道德教育，组织政治、业务学习；维护教职工的正当权益，关心职工的生活和工作情况；调动和发挥教职工的主动性、积极性和创造性。三、主持幼儿园的保教工作、领导和组织安全、卫生保健工作，确保幼儿在园安全和健康。四、领导和组织行政全面工作，完善各项规章制度，检查制度执行情况，实施各阶段工作计划,及教职员工的考核和奖惩。五、负责财务管理，合理使用经费，加强全园人员的思想政治工作和幼教职业道德教育，调动和发挥全园职工的积极性，协调园内外关系。六、组织开展全园性的教学观摩活动，积极传递教研教改信息，经常开展各类教育教学观摩、研讨、评比活动，采取改进提高的措施。七、不定期组织召开园务会议和班级负责人会议，检查总结工作。八、组织好职工岗位培训，为职工业务提高创造必要条件。</w:t>
      </w:r>
    </w:p>
    <w:p>
      <w:pPr>
        <w:pStyle w:val="3"/>
        <w:spacing w:line="600" w:lineRule="exact"/>
        <w:ind w:firstLine="602" w:firstLineChars="200"/>
        <w:rPr>
          <w:rFonts w:hint="eastAsia"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天津市河北区第十九幼儿园内设0个职能处室；下辖1个预算单位。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纳入天津市河北区第十九幼儿园2024年部门预算编制范围的预算单位包括：</w:t>
      </w:r>
    </w:p>
    <w:p>
      <w:pPr>
        <w:spacing w:line="600" w:lineRule="exact"/>
        <w:ind w:firstLine="600"/>
        <w:jc w:val="both"/>
        <w:rPr>
          <w:rFonts w:hint="eastAsia" w:ascii="仿宋_GB2312" w:hAnsi="Times New Roman" w:eastAsia="仿宋_GB2312" w:cs="Times New Roman"/>
          <w:sz w:val="30"/>
          <w:szCs w:val="30"/>
          <w:lang w:val="en-US" w:eastAsia="zh-CN"/>
        </w:rPr>
        <w:sectPr>
          <w:footerReference r:id="rId8" w:type="default"/>
          <w:pgSz w:w="11907" w:h="16840"/>
          <w:pgMar w:top="2098" w:right="1474" w:bottom="1304" w:left="1588" w:header="765" w:footer="765" w:gutter="0"/>
          <w:pgNumType w:fmt="numberInDash" w:start="1"/>
          <w:cols w:space="720" w:num="1"/>
          <w:docGrid w:linePitch="326" w:charSpace="0"/>
        </w:sectPr>
      </w:pPr>
      <w:r>
        <w:rPr>
          <w:rFonts w:hint="eastAsia" w:ascii="仿宋_GB2312" w:hAnsi="Times New Roman" w:eastAsia="仿宋_GB2312" w:cs="Times New Roman"/>
          <w:sz w:val="30"/>
          <w:szCs w:val="30"/>
          <w:lang w:val="en-US" w:eastAsia="zh-CN"/>
        </w:rPr>
        <w:t>1.天津市河北区第十九幼儿园</w:t>
      </w:r>
    </w:p>
    <w:p>
      <w:pPr>
        <w:pStyle w:val="2"/>
        <w:spacing w:line="600" w:lineRule="exact"/>
        <w:jc w:val="center"/>
        <w:rPr>
          <w:rFonts w:hint="eastAsia" w:ascii="黑体" w:eastAsia="黑体"/>
          <w:sz w:val="30"/>
          <w:szCs w:val="30"/>
        </w:rPr>
      </w:pPr>
      <w:bookmarkStart w:id="3" w:name="_Toc78784570"/>
      <w:r>
        <w:rPr>
          <w:rFonts w:hint="eastAsia" w:ascii="黑体" w:hAnsi="黑体" w:eastAsia="黑体" w:cs="黑体"/>
          <w:b/>
          <w:bCs/>
          <w:sz w:val="44"/>
          <w:szCs w:val="44"/>
        </w:rPr>
        <w:t>第二部分  20</w:t>
      </w:r>
      <w:r>
        <w:rPr>
          <w:rFonts w:hint="eastAsia" w:ascii="黑体" w:hAnsi="黑体" w:eastAsia="黑体" w:cs="黑体"/>
          <w:b/>
          <w:bCs/>
          <w:sz w:val="44"/>
          <w:szCs w:val="44"/>
          <w:lang w:eastAsia="zh-CN"/>
        </w:rPr>
        <w:t>24</w:t>
      </w:r>
      <w:r>
        <w:rPr>
          <w:rFonts w:hint="eastAsia" w:ascii="黑体" w:hAnsi="黑体" w:eastAsia="黑体" w:cs="黑体"/>
          <w:b/>
          <w:bCs/>
          <w:sz w:val="44"/>
          <w:szCs w:val="44"/>
        </w:rPr>
        <w:t>年部门预算情况说明</w:t>
      </w:r>
      <w:bookmarkEnd w:id="3"/>
    </w:p>
    <w:p>
      <w:pPr>
        <w:pStyle w:val="3"/>
        <w:spacing w:line="600" w:lineRule="exact"/>
        <w:ind w:firstLine="600" w:firstLineChars="200"/>
        <w:rPr>
          <w:rFonts w:hint="eastAsia"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按照综合预算的原则，天津市河北区第十九幼儿园所有收入和支出均纳入部门预算管理。收入包括：一般公共预算拨款收入10,113,950.00元、政府性基金预算拨款收入0.00元、国有资本经营预算拨款收入0.00元、财政专户管理资金收入0.00元、事业收入0.00元、事业单位经营收入0.00元、上级补助收入0.00元、附属单位上缴收入0.00元、其他收入0.00元、上年结转结余110,000.00元；支出包括：教育支出8,785,142.00元、社会保障和就业支出904,663.00元、卫生健康支出534,145.00元。天津市河北区第十九幼儿园2024年收支总预算10,223,950.00元。</w:t>
      </w:r>
    </w:p>
    <w:p>
      <w:pPr>
        <w:pStyle w:val="3"/>
        <w:spacing w:line="600" w:lineRule="exact"/>
        <w:ind w:firstLine="600" w:firstLineChars="200"/>
        <w:rPr>
          <w:rFonts w:hint="eastAsia"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天津市河北区第十九幼儿园2024年部门预算收入10,223,950.00元，与2023年预算相比减少554,853.00元，主要原因是人员、公用经费有所减少。其中：上年结转结余110,000.00元，占1.08%；一般公共预算10,113,950.00元，占98.92%；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3"/>
        <w:spacing w:line="600" w:lineRule="exact"/>
        <w:ind w:firstLine="600" w:firstLineChars="200"/>
        <w:rPr>
          <w:rFonts w:hint="eastAsia"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default" w:eastAsia="仿宋_GB2312"/>
          <w:sz w:val="30"/>
          <w:szCs w:val="30"/>
          <w:lang w:val="en-US"/>
        </w:rPr>
      </w:pPr>
      <w:bookmarkStart w:id="7" w:name="_Toc78784574"/>
      <w:r>
        <w:rPr>
          <w:rFonts w:hint="eastAsia" w:ascii="仿宋_GB2312" w:hAnsi="Times New Roman" w:eastAsia="仿宋_GB2312" w:cs="Times New Roman"/>
          <w:sz w:val="30"/>
          <w:szCs w:val="30"/>
          <w:lang w:val="en-US" w:eastAsia="zh-CN"/>
        </w:rPr>
        <w:t>天津市河北区第十九幼儿园2024年支出预算10,223,950.00元，与2023年预算相比减少554,853.00元，主要原因是人员、公用经费有所减少。其中：基本支出10,113,950.00元，占98.92%；项目支出110,000.00元，占1.08%；事业单位经营支出0.00元，占0.00%；上缴上级支出0.00元，占0.00%；对附属单位补助支出0.00元，占0.00%。</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default" w:eastAsia="仿宋_GB2312"/>
          <w:sz w:val="30"/>
          <w:szCs w:val="30"/>
          <w:lang w:val="en-US"/>
        </w:rPr>
      </w:pPr>
      <w:bookmarkStart w:id="8" w:name="_Toc78784575"/>
      <w:r>
        <w:rPr>
          <w:rFonts w:hint="eastAsia" w:ascii="仿宋_GB2312" w:hAnsi="Times New Roman" w:eastAsia="仿宋_GB2312" w:cs="Times New Roman"/>
          <w:sz w:val="30"/>
          <w:szCs w:val="30"/>
          <w:lang w:val="en-US" w:eastAsia="zh-CN"/>
        </w:rPr>
        <w:t>天津市河北区第十九幼儿园2024年财政拨款收入预算10,223,950.00元，与2023年预算相比减少554,853.00元，主要原因是人员、公用经费有所减少。收入包括：一般公共预算拨款收入10,113,950.00元、政府性基金预算拨款收入0.00元、国有资本经营预算拨款收入0.00元、上年财政结转结余110,000.00元。2024年财政拨款支出预算10,223,950.00元，与2023年预算相比减少554,853.00元，主要原因是人员、公用经费有所减少。支出包括：教育支出8,785,142.00元、社会保障和就业支出904,663.00元、卫生健康支出534,145.00元。</w:t>
      </w:r>
    </w:p>
    <w:p>
      <w:pPr>
        <w:pStyle w:val="3"/>
        <w:spacing w:line="600" w:lineRule="exact"/>
        <w:ind w:firstLine="600" w:firstLineChars="200"/>
        <w:rPr>
          <w:rFonts w:hint="eastAsia" w:ascii="黑体" w:hAnsi="黑体" w:eastAsia="黑体"/>
          <w:b w:val="0"/>
          <w:sz w:val="30"/>
          <w:szCs w:val="30"/>
        </w:rPr>
      </w:pPr>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天津市河北区第十九幼儿园2024年一般公共预算支出10,223,950.00元，与2023年预算相比减少554,853.00元，主要原因是人员、公用经费有所减少。</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lang w:eastAsia="zh-CN"/>
        </w:rPr>
        <w:t>（</w:t>
      </w:r>
      <w:r>
        <w:rPr>
          <w:rFonts w:hint="eastAsia" w:ascii="楷体" w:hAnsi="楷体" w:eastAsia="楷体" w:cs="仿宋_GB2312"/>
          <w:b/>
          <w:sz w:val="30"/>
          <w:szCs w:val="30"/>
          <w:lang w:val="en-US" w:eastAsia="zh-CN"/>
        </w:rPr>
        <w:t>二</w:t>
      </w:r>
      <w:r>
        <w:rPr>
          <w:rFonts w:hint="eastAsia" w:ascii="楷体" w:hAnsi="楷体" w:eastAsia="楷体" w:cs="仿宋_GB2312"/>
          <w:b/>
          <w:sz w:val="30"/>
          <w:szCs w:val="30"/>
          <w:lang w:eastAsia="zh-CN"/>
        </w:rPr>
        <w:t>）</w:t>
      </w:r>
      <w:r>
        <w:rPr>
          <w:rFonts w:hint="eastAsia" w:ascii="楷体" w:hAnsi="楷体" w:eastAsia="楷体" w:cs="仿宋_GB2312"/>
          <w:b/>
          <w:sz w:val="30"/>
          <w:szCs w:val="30"/>
        </w:rPr>
        <w:t>具体情况。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1.“教育支出（类）”8,785,142.00元，与2023年预算相比减少1,378,517.00元，主要原因是人员、公用经费有所减少。其中：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“普通教育（款）”8,785,142.00元，包括：“学前教育（项）”8,785,142.00元，主要用于本单位人员经费及公用经费等基本支出。</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2.“社会保障和就业支出（类）”904,663.00元，与2023年预算相比增加830,915.00元，主要原因是支出科目调整。其中：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行政事业单位养老支出（款）”904,663.00元，包括：“事业单位离退休（项）”77,600.00元，主要用于退休人员支出。“机关事业单位基本养老保险缴费支出（项）”551,375.00元，主要用于单位缴纳的职工养老保险支出。“机关事业单位职业年金缴费支出（项）”275,688.00元，主要用于单位缴纳的职工职业年金支出。</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3.“卫生健康支出（类）”534,145.00元，与2023年预算相比减少7,251.00元，主要原因是2024年退休人员增加。其中：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“行政事业单位医疗（款）”534,145.00元，包括：“事业单位医疗（项）”361,840.00元，主要用于单位缴纳的职工医疗保险费等支出。“其他行政事业单位医疗支出（项）”172,305.00元，主要用于单位职工二次报销。</w:t>
      </w:r>
    </w:p>
    <w:p>
      <w:pPr>
        <w:numPr>
          <w:ilvl w:val="0"/>
          <w:numId w:val="0"/>
        </w:numPr>
        <w:spacing w:line="600" w:lineRule="exact"/>
        <w:rPr>
          <w:rFonts w:hint="eastAsia" w:ascii="楷体" w:hAnsi="楷体" w:eastAsia="楷体" w:cs="仿宋_GB2312"/>
          <w:b/>
          <w:sz w:val="30"/>
          <w:szCs w:val="30"/>
        </w:rPr>
      </w:pPr>
    </w:p>
    <w:p>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default" w:eastAsia="仿宋_GB2312"/>
          <w:sz w:val="30"/>
          <w:szCs w:val="30"/>
          <w:lang w:val="en-US"/>
        </w:rPr>
      </w:pPr>
      <w:bookmarkStart w:id="10" w:name="_Toc78784577"/>
      <w:r>
        <w:rPr>
          <w:rFonts w:hint="eastAsia" w:ascii="仿宋_GB2312" w:hAnsi="Times New Roman" w:eastAsia="仿宋_GB2312" w:cs="Times New Roman"/>
          <w:sz w:val="30"/>
          <w:szCs w:val="30"/>
          <w:lang w:val="en-US" w:eastAsia="zh-CN"/>
        </w:rPr>
        <w:t>天津市河北区第十九幼儿园一般公共预算基本支出10,113,950.00元，与2023年预算相比减少614,853.00元，主要原因是2024年预算中未涉及考评绩效奖，公用经费拨款有所减少。其中：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人员经费7,661,731.00元，主要包括：基本工资、津贴补贴、绩效工资、机关事业单位基本养老保险缴费、职业年金缴费、职工基本医疗保险缴费、其他社会保障缴费、住房公积金、医疗费、退休费、奖励金。</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公用经费2,452,219.00元，主要包括：工会经费、福利费、其他商品和服务支出。</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2024年一般公共预算“三公”经费安排0.00元，与2023年预算相比增加（减少）0.00元，主要原因是本部门一般公共预算未安排“三公”经费。具体情况：</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一、2024年因公出国（境）费预算0.00元，与2023年预算相比增加（减少）0.00元，主要原因是本部门一般公共预算未安排“因公出国（境）”费。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三、2024年公务接待费预算0.00元，与2023年预算相比增加（减少）0.00元，主要原因是本部门一般公共预算未安排“公务接待”费。</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jc w:val="both"/>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2024年天津市河北区第十九幼儿园预算中没有使用政府性基金预算安排的支出。</w:t>
      </w:r>
      <w:r>
        <w:rPr>
          <w:rFonts w:hint="eastAsia" w:ascii="楷体" w:hAnsi="楷体" w:eastAsia="楷体" w:cs="仿宋_GB2312"/>
          <w:b/>
          <w:sz w:val="30"/>
          <w:szCs w:val="30"/>
          <w:lang w:val="en-US" w:eastAsia="zh-CN"/>
        </w:rPr>
        <w:t xml:space="preserve"> </w:t>
      </w:r>
      <w:bookmarkStart w:id="11" w:name="_Toc78784578"/>
      <w:r>
        <w:rPr>
          <w:rFonts w:hint="eastAsia" w:ascii="仿宋_GB2312" w:hAnsi="Times New Roman" w:eastAsia="仿宋_GB2312" w:cs="Times New Roman"/>
          <w:sz w:val="30"/>
          <w:szCs w:val="30"/>
          <w:lang w:val="en-US" w:eastAsia="zh-CN"/>
        </w:rPr>
        <w:t xml:space="preserve"> </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jc w:val="both"/>
        <w:textAlignment w:val="baseline"/>
      </w:pPr>
      <w:r>
        <w:rPr>
          <w:rFonts w:hint="eastAsia" w:ascii="仿宋_GB2312" w:hAnsi="Times New Roman" w:eastAsia="仿宋_GB2312" w:cs="Times New Roman"/>
          <w:sz w:val="30"/>
          <w:szCs w:val="30"/>
          <w:lang w:val="en-US" w:eastAsia="zh-CN"/>
        </w:rPr>
        <w:t>2024年天津市河北区第十九幼儿园预算中没有使用国有资本经营预算预算安排的支出。</w:t>
      </w: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 xml:space="preserve"> </w:t>
      </w:r>
    </w:p>
    <w:p>
      <w:pPr>
        <w:pStyle w:val="3"/>
        <w:spacing w:line="600" w:lineRule="exact"/>
        <w:ind w:firstLine="600" w:firstLineChars="200"/>
        <w:rPr>
          <w:rFonts w:hint="eastAsia"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spacing w:line="580" w:lineRule="exact"/>
        <w:ind w:firstLine="600" w:firstLineChars="200"/>
        <w:rPr>
          <w:rFonts w:hint="eastAsia" w:eastAsia="楷体_GB2312"/>
          <w:sz w:val="30"/>
          <w:szCs w:val="30"/>
        </w:rPr>
      </w:pPr>
      <w:r>
        <w:rPr>
          <w:rFonts w:hint="eastAsia" w:ascii="仿宋_GB2312" w:hAnsi="仿宋_GB2312" w:eastAsia="仿宋_GB2312" w:cs="仿宋_GB2312"/>
          <w:sz w:val="30"/>
          <w:szCs w:val="30"/>
          <w:lang w:val="en-US" w:eastAsia="zh-CN"/>
        </w:rPr>
        <w:t>本部门2024年未安排机关运行经费预算。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（二）政府采购情况。</w:t>
      </w:r>
    </w:p>
    <w:p>
      <w:pPr>
        <w:spacing w:line="580" w:lineRule="exact"/>
        <w:ind w:firstLine="600" w:firstLineChars="200"/>
        <w:jc w:val="both"/>
        <w:rPr>
          <w:rFonts w:hint="eastAsia" w:eastAsia="楷体_GB2312"/>
          <w:sz w:val="30"/>
          <w:szCs w:val="30"/>
        </w:rPr>
      </w:pPr>
      <w:r>
        <w:rPr>
          <w:rFonts w:hint="eastAsia" w:ascii="仿宋_GB2312" w:hAnsi="仿宋_GB2312" w:eastAsia="仿宋_GB2312" w:cs="仿宋_GB2312"/>
          <w:sz w:val="30"/>
          <w:szCs w:val="30"/>
          <w:lang w:val="en-US" w:eastAsia="zh-CN"/>
        </w:rPr>
        <w:t>本部门2024年安排政府采购预算10000元，其中：政府采购货物支出10000元、政府采购工程支出0元、政府采购服务支出0元。主要项目是：复印纸项目8000元，黑白打印机项目2000元。</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（三）国有资产占用情况。</w:t>
      </w:r>
    </w:p>
    <w:p>
      <w:pPr>
        <w:spacing w:line="580" w:lineRule="exact"/>
        <w:ind w:firstLine="600" w:firstLineChars="200"/>
        <w:jc w:val="both"/>
        <w:rPr>
          <w:rFonts w:hint="eastAsia" w:eastAsia="仿宋_GB2312"/>
          <w:sz w:val="30"/>
          <w:szCs w:val="30"/>
        </w:rPr>
      </w:pPr>
      <w:r>
        <w:rPr>
          <w:rFonts w:hint="eastAsia" w:ascii="仿宋_GB2312" w:hAnsi="仿宋_GB2312" w:eastAsia="仿宋_GB2312" w:cs="仿宋_GB2312"/>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（四）预算绩效情况说明。</w:t>
      </w:r>
    </w:p>
    <w:p>
      <w:pPr>
        <w:spacing w:line="580" w:lineRule="exact"/>
        <w:ind w:firstLine="600" w:firstLineChars="200"/>
        <w:jc w:val="both"/>
        <w:rPr>
          <w:rFonts w:hint="eastAsia" w:ascii="仿宋_GB2312" w:hAnsi="仿宋_GB2312" w:eastAsia="仿宋_GB2312" w:cs="仿宋_GB2312"/>
          <w:sz w:val="30"/>
          <w:szCs w:val="30"/>
          <w:lang w:val="en-US" w:eastAsia="zh-CN"/>
        </w:rPr>
        <w:sectPr>
          <w:pgSz w:w="11907" w:h="16840"/>
          <w:pgMar w:top="2098" w:right="1474" w:bottom="1304" w:left="1588" w:header="765" w:footer="765" w:gutter="0"/>
          <w:pgNumType w:fmt="numberInDash" w:start="1"/>
          <w:cols w:space="720" w:num="1"/>
          <w:docGrid w:linePitch="326" w:charSpace="0"/>
        </w:sectPr>
      </w:pPr>
      <w:r>
        <w:rPr>
          <w:rFonts w:hint="eastAsia" w:ascii="仿宋_GB2312" w:hAnsi="仿宋_GB2312" w:eastAsia="仿宋_GB2312" w:cs="仿宋_GB2312"/>
          <w:sz w:val="30"/>
          <w:szCs w:val="30"/>
          <w:lang w:val="en-US" w:eastAsia="zh-CN"/>
        </w:rPr>
        <w:t>本部门2024年实行绩效目标管理的项目2个，涉及预算金额110,000.00元。</w:t>
      </w:r>
    </w:p>
    <w:p>
      <w:pPr>
        <w:spacing w:line="580" w:lineRule="exact"/>
        <w:jc w:val="both"/>
        <w:rPr>
          <w:rFonts w:hint="eastAsia" w:ascii="仿宋_GB2312" w:hAnsi="仿宋_GB2312" w:eastAsia="仿宋_GB2312" w:cs="仿宋_GB2312"/>
          <w:sz w:val="30"/>
          <w:szCs w:val="30"/>
          <w:lang w:val="en-US" w:eastAsia="zh-CN"/>
        </w:rPr>
      </w:pPr>
    </w:p>
    <w:p>
      <w:pPr>
        <w:pStyle w:val="2"/>
        <w:spacing w:line="600" w:lineRule="exact"/>
        <w:jc w:val="center"/>
        <w:rPr>
          <w:rFonts w:hint="eastAsia" w:ascii="黑体" w:hAnsi="黑体" w:eastAsia="黑体" w:cs="黑体"/>
          <w:b/>
          <w:bCs/>
          <w:sz w:val="44"/>
          <w:szCs w:val="44"/>
        </w:rPr>
      </w:pPr>
      <w:bookmarkStart w:id="13" w:name="_Toc78784585"/>
      <w:r>
        <w:rPr>
          <w:rFonts w:hint="eastAsia" w:ascii="黑体" w:hAnsi="黑体" w:eastAsia="黑体" w:cs="黑体"/>
          <w:b/>
          <w:bCs/>
          <w:sz w:val="44"/>
          <w:szCs w:val="44"/>
        </w:rPr>
        <w:t>第三部分  名词解释</w:t>
      </w:r>
      <w:bookmarkEnd w:id="13"/>
    </w:p>
    <w:p>
      <w:pPr>
        <w:spacing w:line="600" w:lineRule="exact"/>
        <w:ind w:firstLine="600" w:firstLineChars="200"/>
        <w:rPr>
          <w:rFonts w:hint="eastAsia" w:ascii="仿宋_GB2312" w:eastAsia="仿宋_GB2312"/>
          <w:sz w:val="30"/>
          <w:szCs w:val="30"/>
        </w:rPr>
      </w:pPr>
    </w:p>
    <w:p>
      <w:pPr>
        <w:spacing w:line="580" w:lineRule="exact"/>
        <w:ind w:firstLine="600" w:firstLineChars="200"/>
        <w:jc w:val="both"/>
        <w:rPr>
          <w:rFonts w:hint="eastAsia" w:eastAsia="仿宋_GB2312"/>
          <w:sz w:val="30"/>
          <w:szCs w:val="30"/>
        </w:rPr>
      </w:pPr>
      <w:bookmarkStart w:id="14" w:name="_GoBack"/>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jc w:val="both"/>
        <w:rPr>
          <w:rFonts w:hint="eastAsia"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spacing w:line="580" w:lineRule="exact"/>
        <w:ind w:firstLine="600" w:firstLineChars="200"/>
        <w:jc w:val="both"/>
        <w:rPr>
          <w:rFonts w:hint="eastAsia" w:eastAsia="楷体_GB2312"/>
          <w:sz w:val="30"/>
          <w:szCs w:val="30"/>
        </w:rPr>
      </w:pPr>
      <w:r>
        <w:rPr>
          <w:rFonts w:hint="eastAsia" w:eastAsia="楷体_GB2312"/>
          <w:sz w:val="30"/>
          <w:szCs w:val="30"/>
        </w:rPr>
        <w:t>（“部门预算”和“机关运行经费”作为专业性名词各单位必须公开。除此之外，</w:t>
      </w:r>
      <w:r>
        <w:rPr>
          <w:rFonts w:eastAsia="楷体_GB2312"/>
          <w:sz w:val="30"/>
          <w:szCs w:val="30"/>
        </w:rPr>
        <w:t>各单位可</w:t>
      </w:r>
      <w:r>
        <w:rPr>
          <w:rFonts w:hint="eastAsia" w:eastAsia="楷体_GB2312"/>
          <w:sz w:val="30"/>
          <w:szCs w:val="30"/>
        </w:rPr>
        <w:t>根据需要对说明中其他专业性较强名词</w:t>
      </w:r>
      <w:r>
        <w:rPr>
          <w:rFonts w:eastAsia="楷体_GB2312"/>
          <w:sz w:val="30"/>
          <w:szCs w:val="30"/>
        </w:rPr>
        <w:t>进行解释</w:t>
      </w:r>
      <w:r>
        <w:rPr>
          <w:rFonts w:hint="eastAsia" w:eastAsia="楷体_GB2312"/>
          <w:sz w:val="30"/>
          <w:szCs w:val="30"/>
        </w:rPr>
        <w:t>。</w:t>
      </w:r>
      <w:r>
        <w:rPr>
          <w:rFonts w:eastAsia="楷体_GB2312"/>
          <w:sz w:val="30"/>
          <w:szCs w:val="30"/>
        </w:rPr>
        <w:t>）</w:t>
      </w:r>
    </w:p>
    <w:bookmarkEnd w:id="14"/>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eastAsia="楷体_GB2312"/>
          <w:sz w:val="30"/>
          <w:szCs w:val="30"/>
        </w:rPr>
      </w:pPr>
    </w:p>
    <w:p>
      <w:pPr>
        <w:pStyle w:val="2"/>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第四部分  20</w:t>
      </w:r>
      <w:r>
        <w:rPr>
          <w:rFonts w:hint="eastAsia" w:ascii="黑体" w:hAnsi="黑体" w:eastAsia="黑体" w:cs="黑体"/>
          <w:b/>
          <w:bCs/>
          <w:sz w:val="44"/>
          <w:szCs w:val="44"/>
          <w:lang w:eastAsia="zh-CN"/>
        </w:rPr>
        <w:t>24</w:t>
      </w:r>
      <w:r>
        <w:rPr>
          <w:rFonts w:hint="eastAsia" w:ascii="黑体" w:hAnsi="黑体" w:eastAsia="黑体" w:cs="黑体"/>
          <w:b/>
          <w:bCs/>
          <w:sz w:val="44"/>
          <w:szCs w:val="44"/>
        </w:rPr>
        <w:t>年部门预算表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十、《项目支出表》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1.“本部门2024年一般公共预算“三公”经费支出情况表为空表”。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2.“本部门2024年政府性基金预算支出情况表为空表”。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3.“本部门2024年国有资本经营预算支出情况表为空表”。</w:t>
      </w:r>
    </w:p>
    <w:p>
      <w:pPr>
        <w:spacing w:line="560" w:lineRule="exact"/>
        <w:rPr>
          <w:rFonts w:hint="eastAsia" w:eastAsia="楷体"/>
          <w:sz w:val="30"/>
          <w:szCs w:val="30"/>
        </w:rPr>
      </w:pPr>
    </w:p>
    <w:p>
      <w:pPr>
        <w:spacing w:line="560" w:lineRule="exact"/>
        <w:ind w:firstLine="600" w:firstLineChars="200"/>
        <w:rPr>
          <w:rFonts w:eastAsia="楷体_GB2312"/>
          <w:sz w:val="30"/>
          <w:szCs w:val="30"/>
        </w:rPr>
      </w:pPr>
      <w:r>
        <w:rPr>
          <w:rFonts w:hint="eastAsia" w:eastAsia="楷体"/>
          <w:sz w:val="30"/>
          <w:szCs w:val="30"/>
        </w:rPr>
        <w:t>注：以上预算公开表均作为附表，附于预算公开说明文档后。</w:t>
      </w:r>
    </w:p>
    <w:sectPr>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5 -</w: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1YjE1OTI0ZjFiOGFhMWM4MWNjMzdkNjI3N2RmY2MifQ=="/>
  </w:docVars>
  <w:rsids>
    <w:rsidRoot w:val="00937D77"/>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 w:val="7FFE88AA"/>
    <w:rsid w:val="DEFFAB64"/>
    <w:rsid w:val="F51C3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2"/>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3"/>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link w:val="14"/>
    <w:qFormat/>
    <w:uiPriority w:val="0"/>
    <w:pPr>
      <w:spacing w:line="240" w:lineRule="auto"/>
    </w:pPr>
    <w:rPr>
      <w:sz w:val="18"/>
      <w:szCs w:val="18"/>
    </w:rPr>
  </w:style>
  <w:style w:type="paragraph" w:styleId="6">
    <w:name w:val="footer"/>
    <w:basedOn w:val="1"/>
    <w:link w:val="15"/>
    <w:qFormat/>
    <w:uiPriority w:val="99"/>
    <w:pPr>
      <w:tabs>
        <w:tab w:val="center" w:pos="4153"/>
        <w:tab w:val="right" w:pos="8306"/>
      </w:tabs>
      <w:snapToGrid w:val="0"/>
      <w:spacing w:line="240" w:lineRule="atLeas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qFormat/>
    <w:uiPriority w:val="0"/>
  </w:style>
  <w:style w:type="character" w:customStyle="1" w:styleId="12">
    <w:name w:val="标题 1 Char"/>
    <w:link w:val="2"/>
    <w:qFormat/>
    <w:uiPriority w:val="9"/>
    <w:rPr>
      <w:rFonts w:ascii="Times New Roman" w:hAnsi="Times New Roman"/>
      <w:b/>
      <w:bCs/>
      <w:kern w:val="44"/>
      <w:sz w:val="44"/>
      <w:szCs w:val="44"/>
    </w:rPr>
  </w:style>
  <w:style w:type="character" w:customStyle="1" w:styleId="13">
    <w:name w:val="标题 2 Char"/>
    <w:link w:val="3"/>
    <w:qFormat/>
    <w:uiPriority w:val="9"/>
    <w:rPr>
      <w:rFonts w:ascii="Cambria" w:hAnsi="Cambria"/>
      <w:b/>
      <w:bCs/>
      <w:sz w:val="32"/>
      <w:szCs w:val="32"/>
    </w:rPr>
  </w:style>
  <w:style w:type="character" w:customStyle="1" w:styleId="14">
    <w:name w:val="批注框文本 Char"/>
    <w:link w:val="5"/>
    <w:qFormat/>
    <w:uiPriority w:val="0"/>
    <w:rPr>
      <w:sz w:val="18"/>
      <w:szCs w:val="18"/>
    </w:rPr>
  </w:style>
  <w:style w:type="character" w:customStyle="1" w:styleId="15">
    <w:name w:val="页脚 Char"/>
    <w:link w:val="6"/>
    <w:qFormat/>
    <w:uiPriority w:val="99"/>
    <w:rPr>
      <w:sz w:val="18"/>
      <w:szCs w:val="18"/>
    </w:rPr>
  </w:style>
  <w:style w:type="paragraph" w:customStyle="1" w:styleId="16">
    <w:name w:val="Char Char"/>
    <w:basedOn w:val="4"/>
    <w:qFormat/>
    <w:uiPriority w:val="0"/>
    <w:pPr>
      <w:adjustRightInd/>
      <w:spacing w:line="240" w:lineRule="auto"/>
      <w:jc w:val="both"/>
      <w:textAlignment w:val="auto"/>
    </w:pPr>
  </w:style>
  <w:style w:type="paragraph" w:styleId="17">
    <w:name w:val="List Paragraph"/>
    <w:basedOn w:val="1"/>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711</Words>
  <Characters>4055</Characters>
  <Lines>33</Lines>
  <Paragraphs>9</Paragraphs>
  <TotalTime>22</TotalTime>
  <ScaleCrop>false</ScaleCrop>
  <LinksUpToDate>false</LinksUpToDate>
  <CharactersWithSpaces>4757</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2019-01-31T23:44:00Z</dcterms:created>
  <dc:creator>朱春礼</dc:creator>
  <cp:lastModifiedBy>user</cp:lastModifiedBy>
  <cp:lastPrinted>2022-01-19T01:13:00Z</cp:lastPrinted>
  <dcterms:modified xsi:type="dcterms:W3CDTF">2024-04-12T11:52:05Z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2052-11.8.2.1130</vt:lpwstr>
  </property>
</Properties>
</file>