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580" w:lineRule="exact"/>
        <w:jc w:val="center"/>
        <w:rPr>
          <w:rFonts w:eastAsia="黑体" w:hint="eastAsia"/>
          <w:w w:val="95"/>
          <w:sz w:val="44"/>
          <w:szCs w:val="44"/>
          <w:lang w:val="en-US" w:eastAsia="zh-CN"/>
        </w:rPr>
      </w:pPr>
      <w:r>
        <w:rPr>
          <w:rFonts w:eastAsia="黑体" w:hint="eastAsia"/>
          <w:w w:val="95"/>
          <w:sz w:val="44"/>
          <w:szCs w:val="44"/>
          <w:lang w:val="en-US" w:eastAsia="zh-CN"/>
        </w:rPr>
        <w:t xml:space="preserve">  </w:t>
      </w: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pPr>
        <w:spacing w:line="580" w:lineRule="exact"/>
        <w:jc w:val="center"/>
        <w:rPr>
          <w:rFonts w:eastAsia="黑体"/>
          <w:w w:val="95"/>
          <w:sz w:val="44"/>
          <w:szCs w:val="44"/>
        </w:rPr>
      </w:pPr>
    </w:p>
    <w:p>
      <w:pPr>
        <w:spacing w:line="240" w:lineRule="auto"/>
        <w:jc w:val="center"/>
        <w:rPr>
          <w:rFonts w:ascii="黑体" w:eastAsia="黑体" w:hAnsi="黑体" w:cs="黑体" w:hint="eastAsia"/>
          <w:sz w:val="48"/>
          <w:szCs w:val="48"/>
          <w:lang w:val="en-US" w:eastAsia="zh-CN"/>
        </w:rPr>
      </w:pPr>
      <w:r>
        <w:rPr>
          <w:rFonts w:ascii="黑体" w:eastAsia="黑体" w:hAnsi="黑体" w:cs="黑体" w:hint="eastAsia"/>
          <w:sz w:val="48"/>
          <w:szCs w:val="48"/>
          <w:lang w:val="en-US" w:eastAsia="zh-CN"/>
        </w:rPr>
        <w:t>天津市河北区第十六幼儿园</w:t>
      </w:r>
    </w:p>
    <w:p>
      <w:pPr>
        <w:spacing w:line="240" w:lineRule="auto"/>
        <w:jc w:val="center"/>
        <w:rPr>
          <w:rFonts w:ascii="黑体" w:eastAsia="黑体" w:hAnsi="黑体" w:cs="黑体" w:hint="eastAsia"/>
          <w:sz w:val="48"/>
          <w:szCs w:val="48"/>
        </w:rPr>
      </w:pPr>
      <w:r>
        <w:rPr>
          <w:rFonts w:ascii="黑体" w:eastAsia="黑体" w:hAnsi="黑体" w:cs="黑体" w:hint="eastAsia"/>
          <w:sz w:val="48"/>
          <w:szCs w:val="48"/>
        </w:rPr>
        <w:t>202</w:t>
      </w:r>
      <w:r>
        <w:rPr>
          <w:rFonts w:ascii="黑体" w:eastAsia="黑体" w:hAnsi="黑体" w:cs="黑体" w:hint="eastAsia"/>
          <w:sz w:val="48"/>
          <w:szCs w:val="48"/>
          <w:lang w:val="en-US" w:eastAsia="zh-CN"/>
        </w:rPr>
        <w:t>4</w:t>
      </w:r>
      <w:r>
        <w:rPr>
          <w:rFonts w:ascii="黑体" w:eastAsia="黑体" w:hAnsi="黑体" w:cs="黑体" w:hint="eastAsia"/>
          <w:sz w:val="48"/>
          <w:szCs w:val="48"/>
        </w:rPr>
        <w:t>年部门预算</w:t>
      </w:r>
    </w:p>
    <w:p>
      <w:pPr>
        <w:spacing w:line="240" w:lineRule="auto"/>
        <w:jc w:val="center"/>
        <w:rPr>
          <w:rFonts w:ascii="方正小标宋简体" w:eastAsia="方正小标宋简体" w:hAnsi="方正小标宋简体" w:cs="方正小标宋简体" w:hint="eastAsia"/>
          <w:w w:val="95"/>
          <w:sz w:val="48"/>
          <w:szCs w:val="48"/>
        </w:rPr>
      </w:pPr>
    </w:p>
    <w:p>
      <w:pPr>
        <w:spacing w:line="580" w:lineRule="exact"/>
        <w:jc w:val="center"/>
        <w:rPr>
          <w:rFonts w:ascii="楷体_GB2312" w:eastAsia="楷体_GB2312" w:hint="eastAsia"/>
          <w:sz w:val="36"/>
          <w:szCs w:val="36"/>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w:t>
      </w:r>
      <w:r>
        <w:rPr>
          <w:rFonts w:ascii="仿宋_GB2312" w:eastAsia="仿宋_GB2312" w:hAnsi="Times New Roman" w:hint="eastAsia"/>
          <w:b/>
          <w:sz w:val="30"/>
          <w:szCs w:val="30"/>
          <w:lang w:val="en-US" w:eastAsia="zh-CN"/>
        </w:rPr>
        <w:t>4</w:t>
      </w:r>
      <w:r>
        <w:rPr>
          <w:rFonts w:ascii="仿宋_GB2312" w:eastAsia="仿宋_GB2312" w:hAnsi="Times New Roman" w:hint="eastAsia"/>
          <w:b/>
          <w:sz w:val="30"/>
          <w:szCs w:val="30"/>
        </w:rPr>
        <w:t>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w:t>
      </w:r>
      <w:r>
        <w:rPr>
          <w:rFonts w:ascii="仿宋_GB2312" w:eastAsia="仿宋_GB2312" w:hAnsi="Times New Roman" w:hint="eastAsia"/>
          <w:b/>
          <w:sz w:val="30"/>
          <w:szCs w:val="30"/>
          <w:lang w:eastAsia="zh-CN"/>
        </w:rPr>
        <w:t>24</w:t>
      </w:r>
      <w:r>
        <w:rPr>
          <w:rFonts w:ascii="仿宋_GB2312" w:eastAsia="仿宋_GB2312" w:hAnsi="Times New Roman" w:hint="eastAsia"/>
          <w:b/>
          <w:sz w:val="30"/>
          <w:szCs w:val="30"/>
        </w:rPr>
        <w:t>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num="1" w:space="720"/>
          <w:docGrid w:linePitch="326" w:charSpace="0"/>
        </w:sectPr>
      </w:pPr>
    </w:p>
    <w:p>
      <w:pPr>
        <w:pStyle w:val="Heading1"/>
        <w:spacing w:line="600" w:lineRule="exact"/>
        <w:jc w:val="center"/>
        <w:rPr>
          <w:rFonts w:ascii="黑体" w:eastAsia="黑体" w:hAnsi="黑体" w:cs="黑体" w:hint="eastAsia"/>
          <w:b w:val="0"/>
          <w:sz w:val="44"/>
          <w:szCs w:val="44"/>
        </w:rPr>
      </w:pPr>
      <w:bookmarkStart w:id="0" w:name="_Toc78784554"/>
      <w:r>
        <w:rPr>
          <w:rFonts w:ascii="黑体" w:eastAsia="黑体" w:hAnsi="黑体" w:cs="黑体" w:hint="eastAsia"/>
          <w:b w:val="0"/>
          <w:sz w:val="44"/>
          <w:szCs w:val="44"/>
        </w:rPr>
        <w:t>第一部分  概 况</w:t>
      </w:r>
      <w:bookmarkEnd w:id="0"/>
    </w:p>
    <w:p>
      <w:pPr>
        <w:spacing w:line="600" w:lineRule="exact"/>
        <w:rPr>
          <w:rFonts w:hint="eastAsia"/>
        </w:rPr>
      </w:pPr>
    </w:p>
    <w:p>
      <w:pPr>
        <w:pStyle w:val="Heading2"/>
        <w:spacing w:line="600" w:lineRule="exact"/>
        <w:ind w:firstLine="600" w:firstLineChars="200"/>
        <w:rPr>
          <w:rFonts w:ascii="黑体" w:eastAsia="黑体" w:hAnsi="黑体" w:hint="eastAsia"/>
          <w:sz w:val="30"/>
          <w:szCs w:val="30"/>
        </w:rPr>
      </w:pPr>
      <w:bookmarkStart w:id="1" w:name="_Toc78784555"/>
      <w:r>
        <w:rPr>
          <w:rFonts w:ascii="黑体" w:eastAsia="黑体" w:hAnsi="黑体" w:hint="eastAsia"/>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default"/>
          <w:sz w:val="30"/>
          <w:szCs w:val="30"/>
          <w:lang w:val="en-US" w:eastAsia="zh-CN"/>
        </w:rPr>
      </w:pPr>
      <w:bookmarkStart w:id="2" w:name="_Toc78784556"/>
      <w:r>
        <w:rPr>
          <w:rFonts w:ascii="仿宋_GB2312" w:eastAsia="仿宋_GB2312" w:hAnsi="Times New Roman" w:cs="Times New Roman" w:hint="eastAsia"/>
          <w:sz w:val="30"/>
          <w:szCs w:val="30"/>
          <w:lang w:val="en-US" w:eastAsia="zh-CN"/>
        </w:rPr>
        <w:t>一、负责贯彻执行党和国家有关教育工作的方针、政策、法律、法规，研究本园教育发展的中长期规划，并组织实施。二、负责管理本园学前教育工作，重点管理学前教育工作和教研、科研工作；三、负责本园学前教育教师、干部队伍建设和管理，确定教师思想政治工作的基本原则和主要任务；管理教职工工资、人事、师资培训工作。四、负责筹划本园学前教育的设施和教育经费。五、负责管理和完善本园学前教育的执法和执法监督工作，指导落实依法治教、依法治园工作；依照法律、法规，对本园学前教育工作进行督导、评估和监督。</w:t>
      </w:r>
    </w:p>
    <w:p>
      <w:pPr>
        <w:pStyle w:val="Heading2"/>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天津市河北区第十六幼儿园内设0个职能处室；下辖1个预算单位。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纳入天津市河北区第十六幼儿园2024年部门预算编制范围的预算单位包括：</w:t>
      </w:r>
    </w:p>
    <w:p>
      <w:pPr>
        <w:spacing w:line="600" w:lineRule="exact"/>
        <w:ind w:firstLine="600"/>
        <w:jc w:val="both"/>
        <w:rPr>
          <w:rFonts w:ascii="仿宋_GB2312" w:eastAsia="仿宋_GB2312" w:hAnsi="Times New Roman" w:cs="Times New Roman" w:hint="eastAsia"/>
          <w:sz w:val="30"/>
          <w:szCs w:val="30"/>
          <w:lang w:val="en-US" w:eastAsia="zh-CN"/>
        </w:rPr>
        <w:sectPr>
          <w:footerReference w:type="default" r:id="rId7"/>
          <w:pgSz w:w="11907" w:h="16840"/>
          <w:pgMar w:top="2098" w:right="1474" w:bottom="1304" w:left="1588" w:header="765" w:footer="765" w:gutter="0"/>
          <w:pgNumType w:fmt="numberInDash" w:start="1"/>
          <w:cols w:num="1" w:space="720"/>
          <w:docGrid w:linePitch="326" w:charSpace="0"/>
        </w:sectPr>
      </w:pPr>
      <w:r>
        <w:rPr>
          <w:rFonts w:ascii="仿宋_GB2312" w:eastAsia="仿宋_GB2312" w:hAnsi="Times New Roman" w:cs="Times New Roman" w:hint="eastAsia"/>
          <w:sz w:val="30"/>
          <w:szCs w:val="30"/>
          <w:lang w:val="en-US" w:eastAsia="zh-CN"/>
        </w:rPr>
        <w:t>1.天津市河北区第十六幼儿园</w:t>
      </w:r>
    </w:p>
    <w:p>
      <w:pPr>
        <w:pStyle w:val="Heading1"/>
        <w:spacing w:line="600" w:lineRule="exact"/>
        <w:jc w:val="center"/>
        <w:rPr>
          <w:rFonts w:ascii="黑体" w:eastAsia="黑体" w:hint="eastAsia"/>
          <w:sz w:val="30"/>
          <w:szCs w:val="30"/>
        </w:rPr>
      </w:pPr>
      <w:bookmarkStart w:id="3" w:name="_Toc78784570"/>
      <w:r>
        <w:rPr>
          <w:rFonts w:ascii="黑体" w:eastAsia="黑体" w:hAnsi="黑体" w:cs="黑体" w:hint="eastAsia"/>
          <w:b/>
          <w:bCs/>
          <w:sz w:val="44"/>
          <w:szCs w:val="44"/>
        </w:rPr>
        <w:t>第二部分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年部门预算情况说明</w:t>
      </w:r>
      <w:bookmarkEnd w:id="3"/>
    </w:p>
    <w:p>
      <w:pPr>
        <w:pStyle w:val="Heading2"/>
        <w:spacing w:line="600" w:lineRule="exact"/>
        <w:ind w:firstLine="600" w:firstLineChars="200"/>
        <w:rPr>
          <w:rFonts w:ascii="黑体" w:eastAsia="黑体" w:hAnsi="黑体" w:hint="eastAsia"/>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按照综合预算的原则，天津市河北区第十六幼儿园所有收入和支出均纳入部门预算管理。收入包括：一般公共预算拨款收入7,856,599.00元、政府性基金预算拨款收入0.00元、国有资本经营预算拨款收入0.00元、财政专户管理资金收入0.00元、事业收入0.00元、事业单位经营收入0.00元、上级补助收入0.00元、附属单位上缴收入0.00元、其他收入0.00元、上年结转结余0.00元；支出包括：教育支出6,651,841.00元、社会保障和就业支出757,549.00元、卫生健康支出447,209.00元。天津市河北区第十六幼儿园2024年收支总预算7,856,599.00元。</w:t>
      </w:r>
    </w:p>
    <w:p>
      <w:pPr>
        <w:pStyle w:val="Heading2"/>
        <w:spacing w:line="600" w:lineRule="exact"/>
        <w:ind w:firstLine="600" w:firstLineChars="200"/>
        <w:rPr>
          <w:rFonts w:ascii="黑体" w:eastAsia="黑体" w:hAnsi="黑体" w:cs="仿宋_GB2312" w:hint="eastAsia"/>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六幼儿园2024年部门预算收入7,856,599.00元，与2023年预算相比减少145,745.00元，主要原因是人员经费减少。其中：上年结转结余0.00元，占0.00%；一般公共预算7,856,599.00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Heading2"/>
        <w:spacing w:line="600" w:lineRule="exact"/>
        <w:ind w:firstLine="600" w:firstLineChars="200"/>
        <w:rPr>
          <w:rFonts w:ascii="黑体" w:eastAsia="黑体" w:hAnsi="黑体" w:cs="仿宋_GB2312" w:hint="eastAsia"/>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7" w:name="_Toc78784574"/>
      <w:r>
        <w:rPr>
          <w:rFonts w:ascii="仿宋_GB2312" w:eastAsia="仿宋_GB2312" w:hAnsi="Times New Roman" w:cs="Times New Roman" w:hint="eastAsia"/>
          <w:sz w:val="30"/>
          <w:szCs w:val="30"/>
          <w:lang w:val="en-US" w:eastAsia="zh-CN"/>
        </w:rPr>
        <w:t>天津市河北区第十六幼儿园2024年支出预算7,856,599.00元，与2023年预算相比减少145,745.00元，主要原因是人员经费减少。其中：基本支出7,856,599.00元，占100.00%；项目支出0.00元，占0.00%；事业单位经营支出0.00元，占0.00%；上缴上级支出0.00元，占0.00%；对附属单位补助支出0.00元，占0.00%。</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8" w:name="_Toc78784575"/>
      <w:r>
        <w:rPr>
          <w:rFonts w:ascii="仿宋_GB2312" w:eastAsia="仿宋_GB2312" w:hAnsi="Times New Roman" w:cs="Times New Roman" w:hint="eastAsia"/>
          <w:sz w:val="30"/>
          <w:szCs w:val="30"/>
          <w:lang w:val="en-US" w:eastAsia="zh-CN"/>
        </w:rPr>
        <w:t>天津市河北区第十六幼儿园2024年财政拨款收入预算7,856,599.00元，与2023年预算相比减少145,745.00元，主要原因是人员经费减少。收入包括：一般公共预算拨款收入7,856,599.00元、政府性基金预算拨款收入0.00元、国有资本经营预算拨款收入0.00元、上年财政结转结余0.00元。2024年财政拨款支出预算7,856,599.00元，与2023年预算相比减少145,745.00元，主要原因是人员经费减少。支出包括：教育支出6,651,841.00元、社会保障和就业支出757,549.00元、卫生健康支出447,209.00元。</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天津市河北区第十六幼儿园2024年一般公共预算支出7,856,599.00元，与2023年预算相比减少145,745.00元，主要原因是人员经费减少。</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lang w:eastAsia="zh-CN"/>
        </w:rPr>
        <w:t>（</w:t>
      </w:r>
      <w:r>
        <w:rPr>
          <w:rFonts w:ascii="楷体" w:eastAsia="楷体" w:hAnsi="楷体" w:cs="仿宋_GB2312" w:hint="eastAsia"/>
          <w:b/>
          <w:sz w:val="30"/>
          <w:szCs w:val="30"/>
          <w:lang w:val="en-US" w:eastAsia="zh-CN"/>
        </w:rPr>
        <w:t>二</w:t>
      </w:r>
      <w:r>
        <w:rPr>
          <w:rFonts w:ascii="楷体" w:eastAsia="楷体" w:hAnsi="楷体" w:cs="仿宋_GB2312" w:hint="eastAsia"/>
          <w:b/>
          <w:sz w:val="30"/>
          <w:szCs w:val="30"/>
          <w:lang w:eastAsia="zh-CN"/>
        </w:rPr>
        <w:t>）</w:t>
      </w:r>
      <w:r>
        <w:rPr>
          <w:rFonts w:ascii="楷体" w:eastAsia="楷体" w:hAnsi="楷体" w:cs="仿宋_GB2312" w:hint="eastAsia"/>
          <w:b/>
          <w:sz w:val="30"/>
          <w:szCs w:val="30"/>
        </w:rPr>
        <w:t>具体情况</w:t>
      </w:r>
      <w:r>
        <w:rPr>
          <w:rFonts w:ascii="楷体" w:eastAsia="楷体" w:hAnsi="楷体" w:cs="仿宋_GB2312" w:hint="eastAsia"/>
          <w:b/>
          <w:sz w:val="30"/>
          <w:szCs w:val="30"/>
        </w:rPr>
        <w:t>。</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1.“教育支出（类）”6,651,841.00元，与2023年预算相比减少846,050.00元，主要原因是人员经费减少。其中：</w:t>
        <w:br/>
        <w:t>　　“普通教育（款）”6,651,841.00元，包括：“学前教育（项）”6,651,841.00元，主要用于本部门人员经费及公用经费等基本支出。</w:t>
        <w:br/>
        <w:t>　　2.“社会保障和就业支出（类）”757,549.00元，与2023年预算相比增加692,453.00元，主要原因是退休人员增加。其中：</w:t>
        <w:br/>
        <w:t>　　“行政事业单位养老支出（款）”757,549.00元，包括：“事业单位离退休（项）”65,096.00元，主要用于退休人员工资支出。“机关事业单位基本养老保险缴费支出（项）”461,635.00元，主要用于在职人员养老保险支出。“机关事业单位职业年金缴费支出（项）”230,818.00元，主要用于在职人员职业年金支出。</w:t>
        <w:br/>
        <w:t>　　3.“卫生健康支出（类）”447,209.00元，与2023年预算相比增加7,852.00元，主要原因是社保基数调整。其中：</w:t>
        <w:br/>
        <w:t>　　“行政事业单位医疗（款）”447,209.00元，包括：“事业单位医疗（项）”302,948.00元，主要用于在职人员事业单位医疗保险支出。“其他行政事业单位医疗支出（项）”144,261.00元，主要用于在职人员其他行政事业单位医疗保险支出。</w:t>
      </w:r>
    </w:p>
    <w:p>
      <w:pPr>
        <w:numPr>
          <w:ilvl w:val="0"/>
          <w:numId w:val="0"/>
        </w:numPr>
        <w:spacing w:line="600" w:lineRule="exact"/>
        <w:rPr>
          <w:rFonts w:ascii="楷体" w:eastAsia="楷体" w:hAnsi="楷体" w:cs="仿宋_GB2312" w:hint="eastAsia"/>
          <w:b/>
          <w:sz w:val="30"/>
          <w:szCs w:val="30"/>
        </w:rPr>
      </w:pPr>
    </w:p>
    <w:p>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10" w:name="_Toc78784577"/>
      <w:r>
        <w:rPr>
          <w:rFonts w:ascii="仿宋_GB2312" w:eastAsia="仿宋_GB2312" w:hAnsi="Times New Roman" w:cs="Times New Roman" w:hint="eastAsia"/>
          <w:sz w:val="30"/>
          <w:szCs w:val="30"/>
          <w:lang w:val="en-US" w:eastAsia="zh-CN"/>
        </w:rPr>
        <w:t>天津市河北区第十六幼儿园一般公共预算基本支出7,856,599.00元，与2023年预算相比减少145,745.00元，主要原因是人员经费减少。其中：</w:t>
        <w:br/>
        <w:t>　　人员经费6,364,181.00元，主要包括：基本工资、津贴补贴、绩效工资、机关事业单位基本养老保险缴费、职业年金缴费、职工基本医疗保险缴费、其他社会保障缴费、住房公积金、医疗费、退休费、奖励金。</w:t>
        <w:br/>
        <w:t>　　公用经费1,492,418.00元，主要包括：工会经费、福利费、其他商品和服务支出。</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2024年一般公共预算“三公”经费安排0.00元，与2023年预算相比增加（减少）0.00元，主要原因是本部门一般公共预算未安排“三公”经费。具体情况：</w:t>
        <w:br/>
        <w:t>　　一、2024年因公出国（境）费预算0.00元，与2023年预算相比增加（减少）0.00元，主要原因是本部门一般公共预算未安排“因公出国（境）”费。</w:t>
        <w:b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br/>
        <w:t>　　三、2024年公务接待费预算0.00元，与2023年预算相比增加（减少）0.00元，主要原因是本部门一般公共预算未安排“公务接待”费。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2024年天津市河北区第十六幼儿园预算中没有使用政府性基金预算安排的支出。</w:t>
      </w:r>
      <w:r>
        <w:rPr>
          <w:rFonts w:ascii="楷体" w:eastAsia="楷体" w:hAnsi="楷体" w:cs="仿宋_GB2312" w:hint="eastAsia"/>
          <w:b/>
          <w:sz w:val="30"/>
          <w:szCs w:val="30"/>
          <w:lang w:val="en-US" w:eastAsia="zh-CN"/>
        </w:rPr>
        <w:t xml:space="preserve"> </w:t>
      </w:r>
      <w:bookmarkStart w:id="11" w:name="_Toc78784578"/>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2024年天津市河北区第十六幼儿园预算中没有使用国有资本经营预算预算安排的支出。</w:t>
      </w: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bookmarkStart w:id="12" w:name="_Toc78784579"/>
      <w:r>
        <w:rPr>
          <w:rFonts w:ascii="黑体" w:eastAsia="黑体" w:hAnsi="黑体" w:hint="eastAsia"/>
          <w:b w:val="0"/>
          <w:sz w:val="30"/>
          <w:szCs w:val="30"/>
        </w:rPr>
        <w:t>十、其他重要事项的情况说明</w:t>
      </w:r>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本部门2024年未安排机关运行经费预算。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（二）政府采购情况</w:t>
      </w:r>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本部门2024年安排政府采购预算41300元，其中：政府采购货物支出41300元、政府采购服务支出0元、政府采购工程支出0元。主要项目是：办公用品采购41300元。</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（三）国有资产占用情况。</w:t>
      </w:r>
    </w:p>
    <w:p>
      <w:pPr>
        <w:spacing w:line="580" w:lineRule="exact"/>
        <w:ind w:firstLine="600" w:firstLineChars="200"/>
        <w:jc w:val="both"/>
        <w:rPr>
          <w:rFonts w:eastAsia="仿宋_GB2312" w:hint="eastAsia"/>
          <w:sz w:val="30"/>
          <w:szCs w:val="30"/>
        </w:rPr>
      </w:pPr>
      <w:r>
        <w:rPr>
          <w:rFonts w:ascii="仿宋_GB2312" w:eastAsia="仿宋_GB2312" w:hAnsi="仿宋_GB2312" w:cs="仿宋_GB2312" w:hint="eastAsia"/>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（四）预算绩效情况说明。</w:t>
      </w:r>
    </w:p>
    <w:p>
      <w:pPr>
        <w:spacing w:line="580" w:lineRule="exact"/>
        <w:ind w:firstLine="600" w:firstLineChars="200"/>
        <w:jc w:val="both"/>
        <w:rPr>
          <w:rFonts w:ascii="仿宋_GB2312" w:eastAsia="仿宋_GB2312" w:hAnsi="仿宋_GB2312" w:cs="仿宋_GB2312" w:hint="eastAsia"/>
          <w:sz w:val="30"/>
          <w:szCs w:val="30"/>
          <w:lang w:val="en-US" w:eastAsia="zh-CN"/>
        </w:rPr>
        <w:sectPr>
          <w:pgSz w:w="11907" w:h="16840"/>
          <w:pgMar w:top="2098" w:right="1474" w:bottom="1304" w:left="1588" w:header="765" w:footer="765" w:gutter="0"/>
          <w:pgNumType w:fmt="numberInDash" w:start="1"/>
          <w:cols w:num="1" w:space="720"/>
          <w:docGrid w:linePitch="326" w:charSpace="0"/>
        </w:sectPr>
      </w:pPr>
      <w:r>
        <w:rPr>
          <w:rFonts w:ascii="仿宋_GB2312" w:eastAsia="仿宋_GB2312" w:hAnsi="仿宋_GB2312" w:cs="仿宋_GB2312" w:hint="eastAsia"/>
          <w:sz w:val="30"/>
          <w:szCs w:val="30"/>
          <w:lang w:val="en-US" w:eastAsia="zh-CN"/>
        </w:rPr>
        <w:t>本部门2024年实行绩效目标管理的项目0个，涉及预算金额0.00元。</w:t>
      </w:r>
    </w:p>
    <w:p>
      <w:pPr>
        <w:spacing w:line="580" w:lineRule="exact"/>
        <w:jc w:val="both"/>
        <w:rPr>
          <w:rFonts w:ascii="仿宋_GB2312" w:eastAsia="仿宋_GB2312" w:hAnsi="仿宋_GB2312" w:cs="仿宋_GB2312" w:hint="eastAsia"/>
          <w:sz w:val="30"/>
          <w:szCs w:val="30"/>
          <w:lang w:val="en-US" w:eastAsia="zh-CN"/>
        </w:rPr>
      </w:pPr>
    </w:p>
    <w:p>
      <w:pPr>
        <w:pStyle w:val="Heading1"/>
        <w:spacing w:line="600" w:lineRule="exact"/>
        <w:jc w:val="center"/>
        <w:rPr>
          <w:rFonts w:ascii="黑体" w:eastAsia="黑体" w:hAnsi="黑体" w:cs="黑体" w:hint="eastAsia"/>
          <w:b/>
          <w:bCs/>
          <w:sz w:val="44"/>
          <w:szCs w:val="44"/>
        </w:rPr>
      </w:pPr>
      <w:bookmarkStart w:id="13" w:name="_Toc78784585"/>
      <w:r>
        <w:rPr>
          <w:rFonts w:ascii="黑体" w:eastAsia="黑体" w:hAnsi="黑体" w:cs="黑体" w:hint="eastAsia"/>
          <w:b/>
          <w:bCs/>
          <w:sz w:val="44"/>
          <w:szCs w:val="44"/>
        </w:rPr>
        <w:t>第三部分  名词解释</w:t>
      </w:r>
      <w:bookmarkEnd w:id="13"/>
    </w:p>
    <w:p>
      <w:pPr>
        <w:spacing w:line="600" w:lineRule="exact"/>
        <w:ind w:firstLine="600" w:firstLineChars="200"/>
        <w:rPr>
          <w:rFonts w:ascii="仿宋_GB2312" w:eastAsia="仿宋_GB2312" w:hint="eastAsia"/>
          <w:sz w:val="30"/>
          <w:szCs w:val="30"/>
        </w:rPr>
      </w:pPr>
    </w:p>
    <w:p>
      <w:pPr>
        <w:spacing w:line="580" w:lineRule="exact"/>
        <w:ind w:firstLine="600" w:firstLineChars="2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600" w:firstLineChars="200"/>
        <w:rPr>
          <w:rFonts w:eastAsia="楷体_GB2312" w:hint="eastAsia"/>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sz w:val="30"/>
          <w:szCs w:val="30"/>
        </w:rPr>
      </w:pPr>
    </w:p>
    <w:p>
      <w:pPr>
        <w:pStyle w:val="Heading1"/>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第四部分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七、</w:t>
      </w:r>
      <w:bookmarkStart w:id="14" w:name="_GoBack"/>
      <w:bookmarkEnd w:id="14"/>
      <w:r>
        <w:rPr>
          <w:rFonts w:ascii="楷体_GB2312" w:eastAsia="楷体_GB2312" w:hAnsi="Times New Roman" w:hint="eastAsia"/>
          <w:b/>
          <w:sz w:val="30"/>
          <w:szCs w:val="30"/>
        </w:rPr>
        <w:t>《一般公共预算“三公”经费支出情况表》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1.“本部门2024年一般公共预算“三公”经费支出情况表为空表”。</w:t>
        <w:br/>
        <w:t>　　2.“本部门2024年政府性基金预算支出情况表为空表”。</w:t>
        <w:br/>
        <w:t>　　3.“本部门2024年国有资本经营预算支出情况表为空表”。</w:t>
        <w:br/>
        <w:t>　　4.“本部门2024年项目支出表为空表”。</w:t>
      </w:r>
    </w:p>
    <w:p>
      <w:pPr>
        <w:spacing w:line="560" w:lineRule="exact"/>
        <w:rPr>
          <w:rFonts w:eastAsia="楷体" w:hint="eastAsia"/>
          <w:sz w:val="30"/>
          <w:szCs w:val="30"/>
        </w:rPr>
      </w:pPr>
    </w:p>
    <w:p>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pgSz w:w="11907" w:h="16840"/>
      <w:pgMar w:top="2098" w:right="1474" w:bottom="1304" w:left="1588" w:header="765" w:footer="765" w:gutter="0"/>
      <w:pgNumType w:fmt="numberInDash" w:start="1"/>
      <w:cols w:num="1" w:space="72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zh-CN"/>
      </w:rPr>
      <w:t>-</w:t>
    </w:r>
    <w:r>
      <w:t xml:space="preserve"> 5 -</w:t>
    </w:r>
    <w:r>
      <w:fldChar w:fldCharType="end"/>
    </w:r>
  </w:p>
  <w:p>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autoRedefine/>
    <w:uiPriority w:val="9"/>
    <w:qFormat/>
    <w:pPr>
      <w:keepNext/>
      <w:keepLines/>
      <w:spacing w:before="340" w:after="330" w:line="578" w:lineRule="atLeast"/>
      <w:outlineLvl w:val="0"/>
    </w:pPr>
    <w:rPr>
      <w:rFonts w:ascii="Times New Roman" w:hAnsi="Times New Roman"/>
      <w:b/>
      <w:bCs/>
      <w:kern w:val="44"/>
      <w:sz w:val="44"/>
      <w:szCs w:val="44"/>
    </w:rPr>
  </w:style>
  <w:style w:type="paragraph" w:styleId="Heading2">
    <w:name w:val="heading 2"/>
    <w:basedOn w:val="Normal"/>
    <w:next w:val="Normal"/>
    <w:link w:val="2Char"/>
    <w:uiPriority w:val="9"/>
    <w:qFormat/>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DocumentMap">
    <w:name w:val="Document Map"/>
    <w:basedOn w:val="Normal"/>
    <w:autoRedefine/>
    <w:semiHidden/>
    <w:qFormat/>
    <w:pPr>
      <w:shd w:val="clear" w:color="auto" w:fill="000080"/>
    </w:pPr>
  </w:style>
  <w:style w:type="paragraph" w:styleId="BalloonText">
    <w:name w:val="Balloon Text"/>
    <w:basedOn w:val="Normal"/>
    <w:link w:val="Char"/>
    <w:autoRedefine/>
    <w:qFormat/>
    <w:pPr>
      <w:spacing w:line="240" w:lineRule="auto"/>
    </w:pPr>
    <w:rPr>
      <w:sz w:val="18"/>
      <w:szCs w:val="18"/>
    </w:rPr>
  </w:style>
  <w:style w:type="paragraph" w:styleId="Footer">
    <w:name w:val="footer"/>
    <w:basedOn w:val="Normal"/>
    <w:link w:val="Char0"/>
    <w:autoRedefine/>
    <w:uiPriority w:val="99"/>
    <w:qFormat/>
    <w:pPr>
      <w:tabs>
        <w:tab w:val="center" w:pos="4153"/>
        <w:tab w:val="right" w:pos="8306"/>
      </w:tabs>
      <w:snapToGrid w:val="0"/>
      <w:spacing w:line="240" w:lineRule="atLeas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style>
  <w:style w:type="character" w:customStyle="1" w:styleId="1Char">
    <w:name w:val="标题 1 Char"/>
    <w:link w:val="Heading1"/>
    <w:autoRedefine/>
    <w:uiPriority w:val="9"/>
    <w:qFormat/>
    <w:rPr>
      <w:rFonts w:ascii="Times New Roman" w:hAnsi="Times New Roman"/>
      <w:b/>
      <w:bCs/>
      <w:kern w:val="44"/>
      <w:sz w:val="44"/>
      <w:szCs w:val="44"/>
    </w:rPr>
  </w:style>
  <w:style w:type="character" w:customStyle="1" w:styleId="2Char">
    <w:name w:val="标题 2 Char"/>
    <w:link w:val="Heading2"/>
    <w:autoRedefine/>
    <w:uiPriority w:val="9"/>
    <w:qFormat/>
    <w:rPr>
      <w:rFonts w:ascii="Cambria" w:hAnsi="Cambria"/>
      <w:b/>
      <w:bCs/>
      <w:sz w:val="32"/>
      <w:szCs w:val="32"/>
    </w:rPr>
  </w:style>
  <w:style w:type="character" w:customStyle="1" w:styleId="Char">
    <w:name w:val="批注框文本 Char"/>
    <w:link w:val="BalloonText"/>
    <w:autoRedefine/>
    <w:qFormat/>
    <w:rPr>
      <w:sz w:val="18"/>
      <w:szCs w:val="18"/>
    </w:rPr>
  </w:style>
  <w:style w:type="character" w:customStyle="1" w:styleId="Char0">
    <w:name w:val="页脚 Char"/>
    <w:link w:val="Footer"/>
    <w:autoRedefine/>
    <w:uiPriority w:val="99"/>
    <w:qFormat/>
    <w:rPr>
      <w:sz w:val="18"/>
      <w:szCs w:val="18"/>
    </w:rPr>
  </w:style>
  <w:style w:type="paragraph" w:customStyle="1" w:styleId="CharChar">
    <w:name w:val="Char Char"/>
    <w:basedOn w:val="DocumentMap"/>
    <w:autoRedefine/>
    <w:qFormat/>
    <w:pPr>
      <w:adjustRightInd/>
      <w:spacing w:line="240" w:lineRule="auto"/>
      <w:jc w:val="both"/>
      <w:textAlignment w:val="auto"/>
    </w:pPr>
  </w:style>
  <w:style w:type="paragraph" w:styleId="ListParagraph">
    <w:name w:val="List Paragraph"/>
    <w:basedOn w:val="Normal"/>
    <w:autoRedefine/>
    <w:uiPriority w:val="34"/>
    <w:qFormat/>
    <w:pPr>
      <w:adjustRightInd/>
      <w:spacing w:line="240" w:lineRule="auto"/>
      <w:ind w:firstLine="420" w:firstLineChars="200"/>
      <w:jc w:val="both"/>
      <w:textAlignment w:val="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13</Pages>
  <Words>711</Words>
  <Characters>4055</Characters>
  <Application>Microsoft Office Word</Application>
  <DocSecurity>0</DocSecurity>
  <Lines>33</Lines>
  <Paragraphs>9</Paragraphs>
  <ScaleCrop>false</ScaleCrop>
  <Company>微软中国</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asus</cp:lastModifiedBy>
  <cp:revision>8</cp:revision>
  <cp:lastPrinted>2022-01-18T17:13:00Z</cp:lastPrinted>
  <dcterms:created xsi:type="dcterms:W3CDTF">2019-01-31T15:44:00Z</dcterms:created>
  <dcterms:modified xsi:type="dcterms:W3CDTF">2024-02-29T07:39:40Z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