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天津市河北区公共信用中心(天津市河北区价格认证中心)2023年度部门决算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sectPr>
          <w:pgSz w:w="12240" w:h="15840"/>
          <w:pgMar w:top="1440" w:right="1800" w:bottom="1440" w:left="1800" w:header="720" w:footer="720" w:gutter="0"/>
          <w:cols w:space="720" w:num="1"/>
        </w:sectPr>
      </w:pP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方正小标宋简体"/>
          <w:kern w:val="0"/>
          <w:sz w:val="30"/>
          <w:szCs w:val="30"/>
        </w:rPr>
        <w:sectPr>
          <w:footerReference r:id="rId3" w:type="default"/>
          <w:pgSz w:w="12240" w:h="15840"/>
          <w:pgMar w:top="1440" w:right="1800" w:bottom="1440" w:left="1800" w:header="720" w:footer="720" w:gutter="0"/>
          <w:pgNumType w:start="1"/>
          <w:cols w:space="720" w:num="1"/>
        </w:sect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sectPr>
          <w:footerReference r:id="rId4" w:type="default"/>
          <w:pgSz w:w="12240" w:h="15840"/>
          <w:pgMar w:top="1440" w:right="1800" w:bottom="1440" w:left="1800" w:header="720" w:footer="720" w:gutter="0"/>
          <w:cols w:space="720" w:num="1"/>
        </w:sect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负责建设、管理和使用信用信息系统、平台、网站；负责信用信息的归集整理、分析、共享和应用服务；协助研究拟定公共信用信息标准；参与诚信体系建设重大问题研究；对辖区内纪检监察案件、刑事案件涉案财务进行价格认定；对辖区内价格纠纷争议事项进行调解仲裁。</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天津市河北区公共信用中心(天津市河北区价格认证中心)内设1个职能</w:t>
      </w:r>
      <w:r>
        <w:rPr>
          <w:rFonts w:hint="eastAsia" w:ascii="Times New Roman" w:hAnsi="Times New Roman" w:eastAsia="仿宋_GB2312" w:cs="仿宋_GB2312"/>
          <w:sz w:val="30"/>
          <w:szCs w:val="30"/>
          <w:lang w:val="en-US" w:eastAsia="zh-CN"/>
        </w:rPr>
        <w:t>科</w:t>
      </w:r>
      <w:r>
        <w:rPr>
          <w:rFonts w:hint="eastAsia" w:ascii="Times New Roman" w:hAnsi="Times New Roman" w:eastAsia="仿宋_GB2312" w:cs="仿宋_GB2312"/>
          <w:sz w:val="30"/>
          <w:szCs w:val="30"/>
        </w:rPr>
        <w:t>室；下辖0个预算单位。纳入天津市河北区公共信用中心(天津市河北区价格认证中心)2023年度部门决算编制范围的单位包括：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天津市河北区公共信用中心(天津市河北区价格认证中心)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1.天津市河北区公共信用中心(天津市河北区价格认证中心)2023年</w:t>
      </w:r>
      <w:r>
        <w:rPr>
          <w:rFonts w:hint="eastAsia" w:ascii="Times New Roman" w:hAnsi="Times New Roman" w:eastAsia="仿宋_GB2312" w:cs="仿宋_GB2312"/>
          <w:sz w:val="30"/>
          <w:szCs w:val="30"/>
          <w:lang w:val="en-US" w:eastAsia="zh-CN"/>
        </w:rPr>
        <w:t>财政拨款</w:t>
      </w:r>
      <w:r>
        <w:rPr>
          <w:rFonts w:hint="eastAsia" w:ascii="Times New Roman" w:hAnsi="Times New Roman" w:eastAsia="仿宋_GB2312" w:cs="仿宋_GB2312"/>
          <w:sz w:val="30"/>
          <w:szCs w:val="30"/>
        </w:rPr>
        <w:t>“三公”经费支出情况表为空表。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2.天津市河北区公共信用中心(天津市河北区价格认证中心)2023年政府性基金预算支出情况表为空表。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3.天津市河北区公共信用中心(天津市河北区价格认证中心)2023年国有资本经营预算支出情况表为空表。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天津市河北区公共信用中心(天津市河北区价格认证中心)2023年度收入、支出决算总计</w:t>
      </w:r>
      <w:r>
        <w:rPr>
          <w:rFonts w:hint="eastAsia" w:ascii="Times New Roman" w:hAnsi="Times New Roman" w:eastAsia="仿宋_GB2312" w:cs="仿宋_GB2312"/>
          <w:sz w:val="30"/>
          <w:szCs w:val="30"/>
        </w:rPr>
        <w:t>935,828.64元，与2022年度相比，收、支总计各增加269,447.33元，增长40.43%，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天津市河北区公共信用中心(天津市河北区价格认证中心)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873,124.22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年度相比增加206,742.91元，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872,826.70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99.97</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297.52元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天津市河北区公共信用中心(天津市河北区价格认证中心)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年度本年支出合计873,118.10元，与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年度相比增加248,752.41元，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873,118.10元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天津市河北区公共信用中心(天津市河北区价格认证中心)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872,826.70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年度相比，财政拨款收、支总计各增加206,598.60元，增长31.01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天津市河北区公共信用中心(天津市河北区价格认证中心)2023年度部门决算一般公共预算财政拨款支出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计872,826.70元，占本年支出合计的99.97%，与2022年度相比，一般公共预算财政拨款支出增加248,614.22元，增长39.83%，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872,826.70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一般公共服务支出732,120.70元，占83.88%；社会保障和就业支出87,314.00元，占10.00%；卫生健康支出53,392.00元，占6.12%。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425,614.00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872,826.70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205.07%</w:t>
      </w:r>
      <w:r>
        <w:rPr>
          <w:rFonts w:hint="eastAsia" w:ascii="Times New Roman" w:hAnsi="Times New Roman" w:eastAsia="仿宋_GB2312" w:cs="仿宋_GB2312"/>
          <w:kern w:val="0"/>
          <w:sz w:val="30"/>
          <w:szCs w:val="30"/>
        </w:rPr>
        <w:t>。其中：</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一般公共服务支出(类)发展与改革事务(款)事业运行(项)年初预算为367,073.00元，支出决算为732,120.70元，完成年初预算的199.45%%，决算数大于年初预算数的主要原因是年中追加预算；</w:t>
      </w:r>
    </w:p>
    <w:p>
      <w:pPr>
        <w:numPr>
          <w:ilvl w:val="0"/>
          <w:numId w:val="1"/>
        </w:num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社会保障和就业支出(类)行政事业单位养老支出(款)机关事业单位基本养老保险缴费支出(项)年初预算为27,149.00元，支出决算为58,209.00元，完成年初预算的214.41%，决算数大于年初预算数的主要原因是年中追加预算；</w:t>
      </w:r>
    </w:p>
    <w:p>
      <w:pPr>
        <w:numPr>
          <w:ilvl w:val="0"/>
          <w:numId w:val="1"/>
        </w:num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社会保障和就业支出(类)行政事业单位养老支出(款)机关事业单位职业年金缴费支出(项)年初预算为13,575.00元，支出决算为29,105.00元，完成年初预算的214.40%，决算数大于年初预算数的主要原因是年中追加预算；</w:t>
      </w:r>
    </w:p>
    <w:p>
      <w:pPr>
        <w:numPr>
          <w:ilvl w:val="0"/>
          <w:numId w:val="1"/>
        </w:num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卫生健康支出(类)行政事业单位医疗(款)事业单位医疗(项)年初预算为17,817.00元，支出决算为38,200.00元，完成年初预算的214.40%，决算数大于年初预算数的主要原因是年中追加预算；</w:t>
      </w:r>
    </w:p>
    <w:p>
      <w:pPr>
        <w:numPr>
          <w:ilvl w:val="0"/>
          <w:numId w:val="1"/>
        </w:num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卫生健康支出(类)行政事业单位医疗(款)其他行政事业单位医疗支出(项)年初预算为0.00元，支出决算为15,192.00元，完成年初预算的100%，决算数大于年初预算数的主要原因是年中追加预算。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天津市河北区公共信用中心(天津市河北区价格认证中心)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872,826.70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年度相比增加248,614.22元，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844,592.87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基本工资、津贴补贴、奖金、绩效工资、机关事业单位基本养老保险缴费、职业年金缴费、职工基本医疗保险缴费、其他社会保障缴费、住房公积金、其他工资福利支出；</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28,233.83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手续费、水费、电费、工会经费、福利费、其他交通费用。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天津市河北区公共信用中心（天津市河北区价格认证中心）2023年度无政府性基金预算财政拨款收入、支出和结转结余。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天津市河北区公共信用中心（天津市河北区价格认证中心）2023年度无国有资本经营预算财政拨款收入、支出和结转结余。</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元（去年同期0.00元），支出决算与2023年预算相比持平；支出决算较上年持平。因本年及去年同期均未使用财政拨款列支“三公”经费，故本年支出决算与本年预算、上年支出决算均持平为0。</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 xml:space="preserve"> 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元（去年同期0.00元），支出决算与2023年预算相比持平；支出决算较上年持平。因本年及去年同期均未使用财政拨款列支因公出国（境）费，故本年支出决算与本年预算、上年支出决算均持平为0。</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 xml:space="preserve"> 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元（去年同期0.00元），支出决算与2023年预算相比持平；支出决算较上年持平。因本年及去年同期均未使用财政拨款列支公务用车购置及运行维护费，故本年支出决算与本年预算、上年支出决算均持平为0，其中：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元（去年同期0.00元），支出决算与2023年预算相比持平；支出决算较上年持平。因本年及去年同期均未使用财政拨款列支公务用车运行维护费，故本年支出决算与本年预算、上年支出决算均持平为0。</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元（去年同期0.00元），支出决算与2023年预算相比持平；支出决算较上年持平。因本年及去年同期均未使用财政拨款列支公务用车购置费，故本年支出决算与本年预算、上年支出决算均持平为0</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 xml:space="preserve"> 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元（去年同期0.00元），支出决算与2023年预算相比持平；支出决算较上年持平。因本年及去年同期均未使用财政拨款列支公务接待费，故本年支出决算与本年预算、上年支出决算均持平为0</w:t>
      </w:r>
      <w:r>
        <w:rPr>
          <w:rFonts w:hint="eastAsia" w:ascii="Times New Roman" w:hAnsi="Times New Roman" w:eastAsia="仿宋_GB2312" w:cs="仿宋_GB2312"/>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天津市河北区公共信用中心（天津市河北区价格认证中心）2023年度无机关运行经费。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天津市河北区公共信用中心（天津市河北区价格认证中心）2023年度无政府采购支出。</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天津市河北区公共信用中心（天津市河北区价格认证中心）2023年度无国有资产占有使用情况。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天津市河北区公共信用中心（天津市河北区价格认证中心）2023年度没有项目支出，无需开展绩效自评。</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天津市河北区公共信用中心（天津市河北区价格认证中心）不属于乡、镇、街级单位，不涉及公开 2023 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w:t>
      </w:r>
      <w:r>
        <w:rPr>
          <w:rFonts w:hint="eastAsia" w:ascii="Times New Roman" w:hAnsi="Times New Roman" w:eastAsia="方正小标宋简体" w:cs="方正小标宋简体"/>
          <w:kern w:val="44"/>
          <w:sz w:val="44"/>
          <w:szCs w:val="44"/>
          <w:lang w:val="en-US" w:eastAsia="zh-CN"/>
        </w:rPr>
        <w:t xml:space="preserve">  </w:t>
      </w:r>
      <w:bookmarkStart w:id="0" w:name="_GoBack"/>
      <w:bookmarkEnd w:id="0"/>
      <w:r>
        <w:rPr>
          <w:rFonts w:hint="eastAsia" w:ascii="Times New Roman" w:hAnsi="Times New Roman" w:eastAsia="方正小标宋简体" w:cs="方正小标宋简体"/>
          <w:kern w:val="44"/>
          <w:sz w:val="44"/>
          <w:szCs w:val="44"/>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AF1F5D-55BC-4B42-BF9C-0B30F3A961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6CCD51C-A168-45D0-AB61-B7FFB6D474CC}"/>
  </w:font>
  <w:font w:name="方正小标宋简体">
    <w:panose1 w:val="02000000000000000000"/>
    <w:charset w:val="86"/>
    <w:family w:val="auto"/>
    <w:pitch w:val="default"/>
    <w:sig w:usb0="00000001" w:usb1="08000000" w:usb2="00000000" w:usb3="00000000" w:csb0="00040000" w:csb1="00000000"/>
    <w:embedRegular r:id="rId3" w:fontKey="{0FFC1966-6F55-4049-AD21-AF08C04F9D00}"/>
  </w:font>
  <w:font w:name="仿宋_GB2312">
    <w:panose1 w:val="02010609030101010101"/>
    <w:charset w:val="86"/>
    <w:family w:val="modern"/>
    <w:pitch w:val="default"/>
    <w:sig w:usb0="00000001" w:usb1="080E0000" w:usb2="00000000" w:usb3="00000000" w:csb0="00040000" w:csb1="00000000"/>
    <w:embedRegular r:id="rId4" w:fontKey="{205998F6-F343-4B61-98BB-18B87675802E}"/>
  </w:font>
  <w:font w:name="楷体">
    <w:panose1 w:val="02010609060101010101"/>
    <w:charset w:val="86"/>
    <w:family w:val="modern"/>
    <w:pitch w:val="default"/>
    <w:sig w:usb0="800002BF" w:usb1="38CF7CFA" w:usb2="00000016" w:usb3="00000000" w:csb0="00040001" w:csb1="00000000"/>
    <w:embedRegular r:id="rId5" w:fontKey="{D0755E40-554D-4E62-81BF-6DBFA4EF45B7}"/>
  </w:font>
  <w:font w:name="楷体_GB2312">
    <w:panose1 w:val="02010609030101010101"/>
    <w:charset w:val="86"/>
    <w:family w:val="modern"/>
    <w:pitch w:val="default"/>
    <w:sig w:usb0="00000001" w:usb1="080E0000" w:usb2="00000000" w:usb3="00000000" w:csb0="00040000" w:csb1="00000000"/>
    <w:embedRegular r:id="rId6" w:fontKey="{BB2A25B8-83C3-480F-9AB9-00AAEDC04B9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27EA8"/>
    <w:multiLevelType w:val="singleLevel"/>
    <w:tmpl w:val="78A27E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yMmRjNjlhZmI3NWFiZTMwMjViN2NhNjNiNzBjMzQifQ=="/>
  </w:docVars>
  <w:rsids>
    <w:rsidRoot w:val="006A094D"/>
    <w:rsid w:val="00013A12"/>
    <w:rsid w:val="0002687D"/>
    <w:rsid w:val="00047C6F"/>
    <w:rsid w:val="000528EE"/>
    <w:rsid w:val="000719FD"/>
    <w:rsid w:val="0009172E"/>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08AC"/>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22B7E"/>
    <w:rsid w:val="00D4505A"/>
    <w:rsid w:val="00D65B41"/>
    <w:rsid w:val="00DC3234"/>
    <w:rsid w:val="00DC3CD0"/>
    <w:rsid w:val="00DD60B5"/>
    <w:rsid w:val="00E7602B"/>
    <w:rsid w:val="00E964B2"/>
    <w:rsid w:val="00EA6549"/>
    <w:rsid w:val="00F007FE"/>
    <w:rsid w:val="00F041D1"/>
    <w:rsid w:val="00F84E2C"/>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A0656D"/>
    <w:rsid w:val="205D6038"/>
    <w:rsid w:val="20DB5BFD"/>
    <w:rsid w:val="21365D81"/>
    <w:rsid w:val="21556D90"/>
    <w:rsid w:val="21C24E94"/>
    <w:rsid w:val="21D73FEC"/>
    <w:rsid w:val="23736675"/>
    <w:rsid w:val="24B227A0"/>
    <w:rsid w:val="25BA7C7E"/>
    <w:rsid w:val="2666570F"/>
    <w:rsid w:val="26DB4B05"/>
    <w:rsid w:val="271B299E"/>
    <w:rsid w:val="27DD7C53"/>
    <w:rsid w:val="28101A8B"/>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10281C"/>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4221</Words>
  <Characters>4846</Characters>
  <Lines>35</Lines>
  <Paragraphs>10</Paragraphs>
  <TotalTime>2</TotalTime>
  <ScaleCrop>false</ScaleCrop>
  <LinksUpToDate>false</LinksUpToDate>
  <CharactersWithSpaces>4883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2024-08-21T23:34:00Z</dcterms:created>
  <dc:creator>office</dc:creator>
  <cp:lastModifiedBy>☀ Jun</cp:lastModifiedBy>
  <dcterms:modified xsi:type="dcterms:W3CDTF">2024-09-03T07:31:22Z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A44E0A178634409BBBA50D5636087390_13</vt:lpwstr>
  </property>
</Properties>
</file>