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天津市河北区网格化管理中心</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default"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负责区网格化指挥管理平台的日常管理、运行维护和数据统计分析等工作；负责推动各街道网格化管理中心和区级工作部门协调联动；负责对“吹哨”调度事项及为民服务热线等各类渠道反映问题的受理、分配、督促落实和回访反馈；向组织人事、督查等部门提出相关事项承办结果的考核评价建议；指导各街道网格化管理中心做好网格员培训和业绩考核等工作。</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天津市河北区网格化管理中心内设4个职能处室；下辖1个预算单位。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纳入天津市河北区网格化管理中心2024年部门预算编制范围的预算单位包括：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1.天津市河北区网格化管理中心</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网格化管理中心所有收入和支出均纳入部门预算管理。收入包括：一般公共预算拨款收入3,719,201.00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3,199,899.00元、社会保障和就业支出315,525.00元、卫生健康支出203,777.00元。天津市河北区网格化管理中心2024年收支总预算3,719,201.00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网格化管理中心2024年部门预算收入3,719,201.00元，与2023年预算相比减少336,677.00元，主要原因是压减经费预算。其中：上年结转结余0.00元，占0.00%；一般公共预算3,719,201.00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网格化管理中心2024年支出预算3,719,201.00元，与2023年预算相比减少336,677.00元，主要原因是压减经费预算。其中：基本支出3,530,201.00元，占94.92%；项目支出189,000.00元，占5.08%；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网格化管理中心2024年财政拨款收入预算3,719,201.00元，与2023年预算相比减少336,677.00元，主要原因是压减经费预算。收入包括：一般公共预算拨款收入3,719,201.00元、政府性基金预算拨款收入0.00元、国有资本经营预算拨款收入0.00元、上年财政结转结余0.00元。2024年财政拨款支出预算3,719,201.00元，与2023年预算相比减少336,677.00元，主要原因是压减经费预算。支出包括：一般公共服务支出3,199,899.00元、社会保障和就业支出315,525.00元、卫生健康支出203,777.00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天津市河北区网格化管理中心2024年一般公共预算支出3,719,201.00元，与2023年预算相比减少336,677.00元，主要原因是压减经费预算。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1.“一般公共服务支出（类）”3,199,899.00元，与2023年预算相比减少388,672.00元，主要原因是压减经费预算，其中：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“其他共产党事务支出（款）”2,706,654.00元，包括：“事业运行（项）”2,517,654.00元，主要用于人员、公用经费；“其他共产党事务支出（项）”189,000.00元，主要用于项目支出；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“其他一般公共服务支出（款）”493,245.00元，包括：“其他一般公共服务支出（项）”493,245.00元，主要用于日常支出。</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2.“社会保障和就业支出（类）”315,525.00元，与2023年预算相比减少9,558.00元，主要原因是人员变动，其中：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养老支出（款）”315,525.00元，包括：“机关事业单位基本养老保险缴费支出（项）”210,350.00元，主要用于养老保险缴费；“机关事业单位职业年金缴费支出（项）”105,175.00元，主要用于职业年金缴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3.“卫生健康支出（类）”203,777.00元，与2023年预算相比增加61,553.00元，主要原因是人员变动，其中：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“行政事业单位医疗（款）”203,777.00元，包括：“事业单位医疗（项）”138,042.00元，主要用于事业单位医疗支出；“其他行政事业单位医疗支出（项）”65,735.00元，主要用于医疗支出。</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天津市河北区网格化管理中心一般公共预算基本支出3,530,201.00元，与2023年预算相比减少257,677.00元，主要原因是人员变动。其中：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3,366,539.00元，主要包括：基本工资、津贴补贴、绩效工资、机关事业单位基本养老保险缴费、职业年金缴费、职工基本医疗保险缴费、其他社会保障缴费、住房公积金、医疗费、其他工资福利支出、奖励金。</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公用经费163,662.00元，主要包括：办公费、水费、电费、邮电费、差旅费、维修(护)费、培训费、工会经费、福利费。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rPr>
          <w:rFonts w:hint="default" w:eastAsia="仿宋_GB2312"/>
          <w:sz w:val="30"/>
          <w:szCs w:val="30"/>
          <w:lang w:val="en-US"/>
        </w:rPr>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2024年天津市河北区网格化管理中心预算中没有使用政府性基金预算安排的支出。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2024年天津市河北区网格化管理中心预算中没有使用国有资本经营预算预算安排的支出。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本部门2024年未安排政府采购预算。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本部门2024年实行绩效目标管理的项目3个，涉及预算金额189,000.00元。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bookmarkStart w:id="14" w:name="_GoBack"/>
      <w:bookmarkEnd w:id="14"/>
      <w:r>
        <w:rPr>
          <w:rFonts w:hint="eastAsia" w:ascii="仿宋_GB2312" w:hAnsi="仿宋_GB2312" w:eastAsia="仿宋_GB2312" w:cs="仿宋_GB2312"/>
          <w:sz w:val="30"/>
          <w:szCs w:val="30"/>
          <w:lang w:val="en-US" w:eastAsia="zh-CN"/>
        </w:rPr>
        <w:t>1.“本单位（部门）2024年一般公共预算“三公”经费支出情况表为空表”。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2.“本单位（部门）2024年政府性基金预算支出情况表为空表”。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3.“本单位（部门）2024年国有资本经营预算支出情况表为空表”。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073D8"/>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0</TotalTime>
  <ScaleCrop>false</ScaleCrop>
  <LinksUpToDate>false</LinksUpToDate>
  <CharactersWithSpaces>4757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asus</cp:lastModifiedBy>
  <cp:lastPrinted>2022-01-18T17:13:00Z</cp:lastPrinted>
  <dcterms:modified xsi:type="dcterms:W3CDTF">2024-04-02T08:48:08Z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