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eastAsia="黑体"/>
          <w:w w:val="95"/>
          <w:sz w:val="44"/>
          <w:szCs w:val="44"/>
          <w:lang w:val="en-US" w:eastAsia="zh-CN"/>
        </w:rPr>
      </w:pPr>
      <w:r>
        <w:rPr>
          <w:rFonts w:hint="eastAsia" w:eastAsia="黑体"/>
          <w:w w:val="95"/>
          <w:sz w:val="44"/>
          <w:szCs w:val="44"/>
          <w:lang w:val="en-US" w:eastAsia="zh-CN"/>
        </w:rPr>
        <w:t xml:space="preserve">  </w:t>
      </w: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eastAsia="黑体"/>
          <w:w w:val="95"/>
          <w:sz w:val="44"/>
          <w:szCs w:val="44"/>
        </w:rPr>
      </w:pPr>
      <w:r>
        <w:rPr>
          <w:rFonts w:hint="eastAsia" w:eastAsia="黑体"/>
          <w:w w:val="95"/>
          <w:sz w:val="44"/>
          <w:szCs w:val="44"/>
        </w:rPr>
        <w:tab/>
      </w:r>
      <w:r>
        <w:rPr>
          <w:rFonts w:hint="eastAsia" w:eastAsia="黑体"/>
          <w:w w:val="95"/>
          <w:sz w:val="44"/>
          <w:szCs w:val="44"/>
        </w:rPr>
        <w:tab/>
      </w:r>
    </w:p>
    <w:p>
      <w:pPr>
        <w:spacing w:line="580" w:lineRule="exact"/>
        <w:jc w:val="center"/>
        <w:rPr>
          <w:rFonts w:eastAsia="黑体"/>
          <w:w w:val="95"/>
          <w:sz w:val="44"/>
          <w:szCs w:val="44"/>
        </w:rPr>
      </w:pPr>
    </w:p>
    <w:p>
      <w:pPr>
        <w:spacing w:line="240" w:lineRule="auto"/>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天津市河北区大数据管理中心</w:t>
      </w:r>
    </w:p>
    <w:p>
      <w:pPr>
        <w:spacing w:line="240" w:lineRule="auto"/>
        <w:jc w:val="center"/>
        <w:rPr>
          <w:rFonts w:hint="eastAsia" w:ascii="黑体" w:hAnsi="黑体" w:eastAsia="黑体" w:cs="黑体"/>
          <w:sz w:val="48"/>
          <w:szCs w:val="48"/>
        </w:rPr>
      </w:pPr>
      <w:r>
        <w:rPr>
          <w:rFonts w:hint="eastAsia" w:ascii="黑体" w:hAnsi="黑体" w:eastAsia="黑体" w:cs="黑体"/>
          <w:sz w:val="48"/>
          <w:szCs w:val="48"/>
        </w:rPr>
        <w:t>202</w:t>
      </w:r>
      <w:r>
        <w:rPr>
          <w:rFonts w:hint="eastAsia" w:ascii="黑体" w:hAnsi="黑体" w:eastAsia="黑体" w:cs="黑体"/>
          <w:sz w:val="48"/>
          <w:szCs w:val="48"/>
          <w:lang w:val="en-US" w:eastAsia="zh-CN"/>
        </w:rPr>
        <w:t>4</w:t>
      </w:r>
      <w:r>
        <w:rPr>
          <w:rFonts w:hint="eastAsia" w:ascii="黑体" w:hAnsi="黑体" w:eastAsia="黑体" w:cs="黑体"/>
          <w:sz w:val="48"/>
          <w:szCs w:val="48"/>
        </w:rPr>
        <w:t>年部门预算</w:t>
      </w:r>
    </w:p>
    <w:p>
      <w:pPr>
        <w:spacing w:line="240" w:lineRule="auto"/>
        <w:jc w:val="center"/>
        <w:rPr>
          <w:rFonts w:hint="eastAsia" w:ascii="方正小标宋简体" w:hAnsi="方正小标宋简体" w:eastAsia="方正小标宋简体" w:cs="方正小标宋简体"/>
          <w:w w:val="95"/>
          <w:sz w:val="48"/>
          <w:szCs w:val="48"/>
        </w:rPr>
      </w:pPr>
    </w:p>
    <w:p>
      <w:pPr>
        <w:spacing w:line="580" w:lineRule="exact"/>
        <w:jc w:val="center"/>
        <w:rPr>
          <w:rFonts w:hint="eastAsia" w:ascii="楷体_GB2312" w:eastAsia="楷体_GB2312"/>
          <w:sz w:val="36"/>
          <w:szCs w:val="36"/>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44"/>
          <w:szCs w:val="44"/>
        </w:rPr>
      </w:pPr>
    </w:p>
    <w:p>
      <w:pPr>
        <w:spacing w:line="600" w:lineRule="exact"/>
        <w:jc w:val="center"/>
        <w:rPr>
          <w:rFonts w:hint="eastAsia" w:ascii="黑体" w:eastAsia="黑体"/>
          <w:sz w:val="44"/>
          <w:szCs w:val="44"/>
        </w:rPr>
      </w:pPr>
      <w:r>
        <w:rPr>
          <w:rFonts w:hint="eastAsia" w:ascii="黑体" w:eastAsia="黑体"/>
          <w:sz w:val="44"/>
          <w:szCs w:val="44"/>
        </w:rPr>
        <w:t>目   录</w:t>
      </w:r>
    </w:p>
    <w:p>
      <w:pPr>
        <w:spacing w:line="600" w:lineRule="exact"/>
        <w:rPr>
          <w:rFonts w:hint="eastAsia" w:ascii="黑体" w:eastAsia="黑体"/>
          <w:sz w:val="30"/>
          <w:szCs w:val="30"/>
        </w:rPr>
      </w:pP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第一部分  概 况</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一、主要职责</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二、机构设置情况</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第二部分  202</w:t>
      </w:r>
      <w:r>
        <w:rPr>
          <w:rFonts w:hint="eastAsia" w:ascii="仿宋_GB2312" w:hAnsi="Times New Roman" w:eastAsia="仿宋_GB2312"/>
          <w:b/>
          <w:sz w:val="30"/>
          <w:szCs w:val="30"/>
          <w:lang w:val="en-US" w:eastAsia="zh-CN"/>
        </w:rPr>
        <w:t>4</w:t>
      </w:r>
      <w:r>
        <w:rPr>
          <w:rFonts w:hint="eastAsia" w:ascii="仿宋_GB2312" w:hAnsi="Times New Roman" w:eastAsia="仿宋_GB2312"/>
          <w:b/>
          <w:sz w:val="30"/>
          <w:szCs w:val="30"/>
        </w:rPr>
        <w:t>年部门预算情况说明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一、关于收支总体情况表的说明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二、关于收入总体情况表的说明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三、关于支出总体情况表的说明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四、关于财政拨款收支总体情况表的说明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五、关于一般公共预算支出情况的说明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六、关于一般公共预算基本支出情况表的说明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七、关于一般公共预算“三公”经费支出情况表的说明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八、关于政府性基金预算支出情况表的说明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九、关于国有资本经营预算支出情况表的说明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十、其他重要事项的情况说明</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第三部分  名词解释</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第四部分  20</w:t>
      </w:r>
      <w:r>
        <w:rPr>
          <w:rFonts w:hint="eastAsia" w:ascii="仿宋_GB2312" w:hAnsi="Times New Roman" w:eastAsia="仿宋_GB2312"/>
          <w:b/>
          <w:sz w:val="30"/>
          <w:szCs w:val="30"/>
          <w:lang w:eastAsia="zh-CN"/>
        </w:rPr>
        <w:t>24</w:t>
      </w:r>
      <w:r>
        <w:rPr>
          <w:rFonts w:hint="eastAsia" w:ascii="仿宋_GB2312" w:hAnsi="Times New Roman" w:eastAsia="仿宋_GB2312"/>
          <w:b/>
          <w:sz w:val="30"/>
          <w:szCs w:val="30"/>
        </w:rPr>
        <w:t>年部门预算表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一、部门收支总体情况表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二、部门收入总体情况表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三、部门支出总体情况表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四、财政拨款收支总体情况表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五、一般公共预算支出情况表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六、一般公共预算基本支出情况表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七、一般公共预算“三公”经费支出情况表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八、政府性基金预算支出情况表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九、国有资本经营预算支出情况表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十、项目支出表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十一、关于空表的说明</w:t>
      </w:r>
      <w:r>
        <w:rPr>
          <w:rFonts w:hint="eastAsia" w:ascii="仿宋_GB2312" w:hAnsi="Times New Roman" w:eastAsia="仿宋_GB2312"/>
          <w:sz w:val="30"/>
          <w:szCs w:val="30"/>
        </w:rPr>
        <w:tab/>
      </w:r>
    </w:p>
    <w:p>
      <w:pPr>
        <w:spacing w:line="600" w:lineRule="exact"/>
        <w:rPr>
          <w:rFonts w:ascii="仿宋_GB2312" w:hAnsi="Times New Roman" w:eastAsia="仿宋_GB2312"/>
          <w:b/>
          <w:sz w:val="30"/>
          <w:szCs w:val="30"/>
        </w:rPr>
      </w:pPr>
      <w:r>
        <w:rPr>
          <w:rFonts w:ascii="仿宋_GB2312" w:hAnsi="Times New Roman" w:eastAsia="仿宋_GB2312"/>
          <w:b/>
          <w:sz w:val="30"/>
          <w:szCs w:val="30"/>
        </w:rPr>
        <w:fldChar w:fldCharType="begin"/>
      </w:r>
      <w:r>
        <w:rPr>
          <w:rFonts w:ascii="仿宋_GB2312" w:hAnsi="Times New Roman" w:eastAsia="仿宋_GB2312"/>
          <w:b/>
          <w:sz w:val="30"/>
          <w:szCs w:val="30"/>
        </w:rPr>
        <w:instrText xml:space="preserve"> </w:instrText>
      </w:r>
      <w:r>
        <w:rPr>
          <w:rFonts w:hint="eastAsia" w:ascii="仿宋_GB2312" w:hAnsi="Times New Roman" w:eastAsia="仿宋_GB2312"/>
          <w:b/>
          <w:sz w:val="30"/>
          <w:szCs w:val="30"/>
        </w:rPr>
        <w:instrText xml:space="preserve">TOC \o "1-3" \h \z \u</w:instrText>
      </w:r>
      <w:r>
        <w:rPr>
          <w:rFonts w:ascii="仿宋_GB2312" w:hAnsi="Times New Roman" w:eastAsia="仿宋_GB2312"/>
          <w:b/>
          <w:sz w:val="30"/>
          <w:szCs w:val="30"/>
        </w:rPr>
        <w:instrText xml:space="preserve"> </w:instrText>
      </w:r>
      <w:r>
        <w:rPr>
          <w:rFonts w:ascii="仿宋_GB2312" w:hAnsi="Times New Roman" w:eastAsia="仿宋_GB2312"/>
          <w:b/>
          <w:sz w:val="30"/>
          <w:szCs w:val="30"/>
        </w:rPr>
        <w:fldChar w:fldCharType="separate"/>
      </w:r>
    </w:p>
    <w:p>
      <w:pPr>
        <w:spacing w:line="600" w:lineRule="exact"/>
        <w:jc w:val="both"/>
        <w:rPr>
          <w:rFonts w:hint="eastAsia" w:ascii="仿宋_GB2312" w:hAnsi="Times New Roman" w:eastAsia="仿宋_GB2312"/>
          <w:sz w:val="30"/>
          <w:szCs w:val="30"/>
        </w:rPr>
      </w:pPr>
      <w:r>
        <w:rPr>
          <w:rFonts w:ascii="仿宋_GB2312" w:hAnsi="Times New Roman" w:eastAsia="仿宋_GB2312"/>
          <w:sz w:val="30"/>
          <w:szCs w:val="30"/>
        </w:rPr>
        <w:fldChar w:fldCharType="end"/>
      </w: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eastAsia="黑体"/>
          <w:w w:val="95"/>
          <w:sz w:val="44"/>
          <w:szCs w:val="44"/>
        </w:rPr>
      </w:pPr>
    </w:p>
    <w:p>
      <w:pPr>
        <w:pStyle w:val="8"/>
        <w:tabs>
          <w:tab w:val="right" w:leader="dot" w:pos="8296"/>
        </w:tabs>
        <w:spacing w:line="600" w:lineRule="exact"/>
        <w:ind w:left="0"/>
        <w:rPr>
          <w:rFonts w:ascii="黑体" w:eastAsia="黑体"/>
          <w:sz w:val="30"/>
          <w:szCs w:val="30"/>
        </w:rPr>
        <w:sectPr>
          <w:headerReference r:id="rId5" w:type="default"/>
          <w:footerReference r:id="rId6" w:type="default"/>
          <w:footerReference r:id="rId7" w:type="even"/>
          <w:pgSz w:w="11907" w:h="16840"/>
          <w:pgMar w:top="2098" w:right="1474" w:bottom="1304" w:left="1588" w:header="765" w:footer="765" w:gutter="0"/>
          <w:pgNumType w:fmt="numberInDash" w:start="1"/>
          <w:cols w:space="720" w:num="1"/>
          <w:docGrid w:linePitch="326" w:charSpace="0"/>
        </w:sectPr>
      </w:pPr>
    </w:p>
    <w:p>
      <w:pPr>
        <w:pStyle w:val="2"/>
        <w:spacing w:line="600" w:lineRule="exact"/>
        <w:jc w:val="center"/>
        <w:rPr>
          <w:rFonts w:hint="eastAsia" w:ascii="黑体" w:hAnsi="黑体" w:eastAsia="黑体" w:cs="黑体"/>
          <w:b w:val="0"/>
          <w:sz w:val="44"/>
          <w:szCs w:val="44"/>
        </w:rPr>
      </w:pPr>
      <w:bookmarkStart w:id="0" w:name="_Toc78784554"/>
      <w:r>
        <w:rPr>
          <w:rFonts w:hint="eastAsia" w:ascii="黑体" w:hAnsi="黑体" w:eastAsia="黑体" w:cs="黑体"/>
          <w:b w:val="0"/>
          <w:sz w:val="44"/>
          <w:szCs w:val="44"/>
        </w:rPr>
        <w:t>第一部分  概 况</w:t>
      </w:r>
      <w:bookmarkEnd w:id="0"/>
    </w:p>
    <w:p>
      <w:pPr>
        <w:spacing w:line="600" w:lineRule="exact"/>
        <w:rPr>
          <w:rFonts w:hint="eastAsia"/>
        </w:rPr>
      </w:pPr>
    </w:p>
    <w:p>
      <w:pPr>
        <w:pStyle w:val="3"/>
        <w:spacing w:line="600" w:lineRule="exact"/>
        <w:ind w:firstLine="602" w:firstLineChars="200"/>
        <w:rPr>
          <w:rFonts w:hint="eastAsia" w:ascii="黑体" w:hAnsi="黑体" w:eastAsia="黑体"/>
          <w:sz w:val="30"/>
          <w:szCs w:val="30"/>
        </w:rPr>
      </w:pPr>
      <w:bookmarkStart w:id="1" w:name="_Toc78784555"/>
      <w:r>
        <w:rPr>
          <w:rFonts w:hint="eastAsia" w:ascii="黑体" w:hAnsi="黑体" w:eastAsia="黑体"/>
          <w:sz w:val="30"/>
          <w:szCs w:val="30"/>
        </w:rPr>
        <w:t>一、主要职责</w:t>
      </w:r>
      <w:bookmarkEnd w:id="1"/>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hint="default" w:ascii="仿宋_GB2312" w:hAnsi="Times New Roman" w:eastAsia="仿宋_GB2312" w:cs="Times New Roman"/>
          <w:sz w:val="30"/>
          <w:szCs w:val="30"/>
          <w:lang w:val="en-US" w:eastAsia="zh-CN"/>
        </w:rPr>
      </w:pPr>
      <w:bookmarkStart w:id="2" w:name="_Toc78784556"/>
      <w:r>
        <w:rPr>
          <w:rFonts w:hint="eastAsia" w:ascii="仿宋_GB2312" w:hAnsi="Times New Roman" w:eastAsia="仿宋_GB2312" w:cs="Times New Roman"/>
          <w:sz w:val="30"/>
          <w:szCs w:val="30"/>
          <w:lang w:val="en-US" w:eastAsia="zh-CN"/>
        </w:rPr>
        <w:t>承担数据资源的采集、存储、登记、开发利用和共享，以及大数据安全体系建设、安全保障工作。</w:t>
      </w:r>
    </w:p>
    <w:p>
      <w:pPr>
        <w:pStyle w:val="3"/>
        <w:spacing w:line="600" w:lineRule="exact"/>
        <w:ind w:firstLine="602" w:firstLineChars="200"/>
        <w:rPr>
          <w:rFonts w:hint="eastAsia" w:ascii="黑体" w:hAnsi="黑体" w:eastAsia="黑体"/>
          <w:sz w:val="30"/>
          <w:szCs w:val="30"/>
        </w:rPr>
      </w:pPr>
      <w:r>
        <w:rPr>
          <w:rFonts w:hint="eastAsia" w:ascii="黑体" w:hAnsi="黑体" w:eastAsia="黑体"/>
          <w:sz w:val="30"/>
          <w:szCs w:val="30"/>
        </w:rPr>
        <w:t>二、机构设置</w:t>
      </w:r>
      <w:bookmarkEnd w:id="2"/>
      <w:r>
        <w:rPr>
          <w:rFonts w:hint="eastAsia" w:ascii="黑体" w:hAnsi="黑体" w:eastAsia="黑体"/>
          <w:sz w:val="30"/>
          <w:szCs w:val="30"/>
        </w:rPr>
        <w:t>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天津市河北区大数据管理中心内设0个职能处室；下辖1个预算单位。</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纳入天津市河北区大数据管理中心2024年部门预算编制范围的预算单位包括：</w:t>
      </w:r>
    </w:p>
    <w:p>
      <w:pPr>
        <w:spacing w:line="600" w:lineRule="exact"/>
        <w:ind w:firstLine="600"/>
        <w:jc w:val="both"/>
        <w:rPr>
          <w:rFonts w:hint="eastAsia" w:ascii="仿宋_GB2312" w:hAnsi="Times New Roman" w:eastAsia="仿宋_GB2312" w:cs="Times New Roman"/>
          <w:sz w:val="30"/>
          <w:szCs w:val="30"/>
          <w:lang w:val="en-US" w:eastAsia="zh-CN"/>
        </w:rPr>
        <w:sectPr>
          <w:footerReference r:id="rId8" w:type="default"/>
          <w:pgSz w:w="11907" w:h="16840"/>
          <w:pgMar w:top="2098" w:right="1474" w:bottom="1304" w:left="1588" w:header="765" w:footer="765" w:gutter="0"/>
          <w:pgNumType w:fmt="numberInDash" w:start="1"/>
          <w:cols w:space="720" w:num="1"/>
          <w:docGrid w:linePitch="326" w:charSpace="0"/>
        </w:sectPr>
      </w:pPr>
      <w:r>
        <w:rPr>
          <w:rFonts w:hint="eastAsia" w:ascii="仿宋_GB2312" w:hAnsi="Times New Roman" w:eastAsia="仿宋_GB2312" w:cs="Times New Roman"/>
          <w:sz w:val="30"/>
          <w:szCs w:val="30"/>
          <w:lang w:val="en-US" w:eastAsia="zh-CN"/>
        </w:rPr>
        <w:t>1.天津市河北区大数据管理中心</w:t>
      </w:r>
    </w:p>
    <w:p>
      <w:pPr>
        <w:pStyle w:val="2"/>
        <w:spacing w:line="600" w:lineRule="exact"/>
        <w:jc w:val="center"/>
        <w:rPr>
          <w:rFonts w:hint="eastAsia" w:ascii="黑体" w:eastAsia="黑体"/>
          <w:sz w:val="30"/>
          <w:szCs w:val="30"/>
        </w:rPr>
      </w:pPr>
      <w:bookmarkStart w:id="3" w:name="_Toc78784570"/>
      <w:r>
        <w:rPr>
          <w:rFonts w:hint="eastAsia" w:ascii="黑体" w:hAnsi="黑体" w:eastAsia="黑体" w:cs="黑体"/>
          <w:b/>
          <w:bCs/>
          <w:sz w:val="44"/>
          <w:szCs w:val="44"/>
        </w:rPr>
        <w:t>第二部分  20</w:t>
      </w:r>
      <w:r>
        <w:rPr>
          <w:rFonts w:hint="eastAsia" w:ascii="黑体" w:hAnsi="黑体" w:eastAsia="黑体" w:cs="黑体"/>
          <w:b/>
          <w:bCs/>
          <w:sz w:val="44"/>
          <w:szCs w:val="44"/>
          <w:lang w:eastAsia="zh-CN"/>
        </w:rPr>
        <w:t>24</w:t>
      </w:r>
      <w:r>
        <w:rPr>
          <w:rFonts w:hint="eastAsia" w:ascii="黑体" w:hAnsi="黑体" w:eastAsia="黑体" w:cs="黑体"/>
          <w:b/>
          <w:bCs/>
          <w:sz w:val="44"/>
          <w:szCs w:val="44"/>
        </w:rPr>
        <w:t>年部门预算情况说明</w:t>
      </w:r>
      <w:bookmarkEnd w:id="3"/>
    </w:p>
    <w:p>
      <w:pPr>
        <w:pStyle w:val="3"/>
        <w:spacing w:line="600" w:lineRule="exact"/>
        <w:ind w:firstLine="600" w:firstLineChars="200"/>
        <w:rPr>
          <w:rFonts w:hint="eastAsia" w:ascii="黑体" w:hAnsi="黑体" w:eastAsia="黑体"/>
          <w:b w:val="0"/>
          <w:sz w:val="30"/>
          <w:szCs w:val="30"/>
        </w:rPr>
      </w:pPr>
      <w:bookmarkStart w:id="4" w:name="_Toc78784571"/>
      <w:r>
        <w:rPr>
          <w:rFonts w:hint="eastAsia" w:ascii="黑体" w:hAnsi="黑体" w:eastAsia="黑体"/>
          <w:b w:val="0"/>
          <w:sz w:val="30"/>
          <w:szCs w:val="30"/>
        </w:rPr>
        <w:t>一、关于收支总体情况</w:t>
      </w:r>
      <w:bookmarkEnd w:id="4"/>
      <w:r>
        <w:rPr>
          <w:rFonts w:hint="eastAsia" w:ascii="黑体" w:hAnsi="黑体" w:eastAsia="黑体"/>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按照综合预算的原则，天津市河北区大数据管理中心所有收入和支出均纳入部门预算管理。收入包括：一般公共预算拨款收入1,647,616.00元、政府性基金预算拨款收入0.00元、国有资本经营预算拨款收入0.00元、财政专户管理资金收入0.00元、事业收入0.00元、事业单位经营收入0.00元、上级补助收入0.00元、附属单位上缴收入0.00元、其他收入0.00元、上年结转结余0.00元；支出包括：一般公共服务支出1,359,889.00元、社会保障和就业支出174,822.00元、卫生健康支出112,905.00元。天津市河北区大数据管理中心2024年收支总预算1,647,616.00元。</w:t>
      </w:r>
    </w:p>
    <w:p>
      <w:pPr>
        <w:pStyle w:val="3"/>
        <w:spacing w:line="600" w:lineRule="exact"/>
        <w:ind w:firstLine="600" w:firstLineChars="200"/>
        <w:rPr>
          <w:rFonts w:hint="eastAsia" w:ascii="黑体" w:hAnsi="黑体" w:eastAsia="黑体" w:cs="仿宋_GB2312"/>
          <w:b w:val="0"/>
          <w:sz w:val="30"/>
          <w:szCs w:val="30"/>
        </w:rPr>
      </w:pPr>
      <w:bookmarkStart w:id="5" w:name="_Toc78784572"/>
      <w:r>
        <w:rPr>
          <w:rFonts w:hint="eastAsia" w:ascii="黑体" w:hAnsi="黑体" w:eastAsia="黑体" w:cs="仿宋_GB2312"/>
          <w:b w:val="0"/>
          <w:sz w:val="30"/>
          <w:szCs w:val="30"/>
        </w:rPr>
        <w:t>二、关于收入总体情况</w:t>
      </w:r>
      <w:bookmarkEnd w:id="5"/>
      <w:r>
        <w:rPr>
          <w:rFonts w:hint="eastAsia" w:ascii="黑体" w:hAnsi="黑体" w:eastAsia="黑体" w:cs="仿宋_GB2312"/>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天津市河北区大数据管理中心2024年部门预算收入1,647,616.00元，与2023年预算相比增加218,892.00元，主要原因是人员变动。其中：上年结转结余0.00元，占0.00%；一般公共预算1,647,616.00元，占100.00%；政府性基金预算0.00元，占0.00%；国有资本经营预算0.00元，占0.00%；财政专户管理资金0.00元，占0.00%；事业收入0.00元，占0.00%；事业单位经营收入0.00元，占0.00%；上级补助收入0.00元，占0.00%；附属单位上缴收入0.00元，占0.00%；其他收入0.00元，占0.00%。</w:t>
      </w:r>
    </w:p>
    <w:p>
      <w:pPr>
        <w:pStyle w:val="3"/>
        <w:spacing w:line="600" w:lineRule="exact"/>
        <w:ind w:firstLine="600" w:firstLineChars="200"/>
        <w:rPr>
          <w:rFonts w:hint="eastAsia" w:ascii="黑体" w:hAnsi="黑体" w:eastAsia="黑体" w:cs="仿宋_GB2312"/>
          <w:b w:val="0"/>
          <w:sz w:val="30"/>
          <w:szCs w:val="30"/>
        </w:rPr>
      </w:pPr>
      <w:bookmarkStart w:id="6" w:name="_Toc78784573"/>
      <w:r>
        <w:rPr>
          <w:rFonts w:hint="eastAsia" w:ascii="黑体" w:hAnsi="黑体" w:eastAsia="黑体" w:cs="仿宋_GB2312"/>
          <w:b w:val="0"/>
          <w:sz w:val="30"/>
          <w:szCs w:val="30"/>
        </w:rPr>
        <w:t>三、关于</w:t>
      </w:r>
      <w:r>
        <w:rPr>
          <w:rFonts w:ascii="黑体" w:hAnsi="黑体" w:eastAsia="黑体" w:cs="仿宋_GB2312"/>
          <w:b w:val="0"/>
          <w:sz w:val="30"/>
          <w:szCs w:val="30"/>
        </w:rPr>
        <w:t>支出</w:t>
      </w:r>
      <w:r>
        <w:rPr>
          <w:rFonts w:hint="eastAsia" w:ascii="黑体" w:hAnsi="黑体" w:eastAsia="黑体" w:cs="仿宋_GB2312"/>
          <w:b w:val="0"/>
          <w:sz w:val="30"/>
          <w:szCs w:val="30"/>
        </w:rPr>
        <w:t>总体情况表</w:t>
      </w:r>
      <w:bookmarkEnd w:id="6"/>
      <w:r>
        <w:rPr>
          <w:rFonts w:hint="eastAsia" w:ascii="黑体" w:hAnsi="黑体" w:eastAsia="黑体" w:cs="仿宋_GB2312"/>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bookmarkStart w:id="7" w:name="_Toc78784574"/>
      <w:r>
        <w:rPr>
          <w:rFonts w:hint="eastAsia" w:ascii="仿宋_GB2312" w:hAnsi="Times New Roman" w:eastAsia="仿宋_GB2312" w:cs="Times New Roman"/>
          <w:sz w:val="30"/>
          <w:szCs w:val="30"/>
          <w:lang w:val="en-US" w:eastAsia="zh-CN"/>
        </w:rPr>
        <w:t>天津市河北区大数据管理中心2024年支出预算1,647,616.00元，与2023年预算相比增加218,892.00元，主要原因是人员变动。其中：基本支出1,647,616.00元，占100.00%；项目支出0.00元，占0.00%；事业单位经营支出0.00元，占0.00%；上缴上级支出0.00元，占0.00%；对附属单位补助支出0.00元，占0.00%。</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四、关于财政拨款收支总体情况表</w:t>
      </w:r>
      <w:bookmarkEnd w:id="7"/>
      <w:r>
        <w:rPr>
          <w:rFonts w:hint="eastAsia" w:ascii="黑体" w:hAnsi="黑体" w:eastAsia="黑体"/>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bookmarkStart w:id="8" w:name="_Toc78784575"/>
      <w:r>
        <w:rPr>
          <w:rFonts w:hint="eastAsia" w:ascii="仿宋_GB2312" w:hAnsi="Times New Roman" w:eastAsia="仿宋_GB2312" w:cs="Times New Roman"/>
          <w:sz w:val="30"/>
          <w:szCs w:val="30"/>
          <w:lang w:val="en-US" w:eastAsia="zh-CN"/>
        </w:rPr>
        <w:t>天津市河北区大数据管理中心2024年财政拨款收入预算1,647,616.00元，与2023年预算相比增加218,892.00元，主要原因是人员变动。收入包括：一般公共预算拨款收入1,647,616.00元、政府性基金预算拨款收入0.00元、国有资本经营预算拨款收入0.00元、上年财政结转结余0.00元。2024年财政拨款支出预算1,647,616.00元，与2023年预算相比增加218,892.00元，主要原因是人员变动。支出包括：一般公共服务支出1,359,889.00元、社会保障和就业支出174,822.00元、卫生健康支出112,905.00元。</w:t>
      </w:r>
    </w:p>
    <w:p>
      <w:pPr>
        <w:pStyle w:val="3"/>
        <w:spacing w:line="600" w:lineRule="exact"/>
        <w:ind w:firstLine="600" w:firstLineChars="200"/>
        <w:rPr>
          <w:rFonts w:hint="eastAsia" w:ascii="黑体" w:hAnsi="黑体" w:eastAsia="黑体"/>
          <w:b w:val="0"/>
          <w:sz w:val="30"/>
          <w:szCs w:val="30"/>
        </w:rPr>
      </w:pPr>
      <w:r>
        <w:rPr>
          <w:rFonts w:ascii="黑体" w:hAnsi="黑体" w:eastAsia="黑体"/>
          <w:b w:val="0"/>
          <w:sz w:val="30"/>
          <w:szCs w:val="30"/>
        </w:rPr>
        <w:t>五</w:t>
      </w:r>
      <w:r>
        <w:rPr>
          <w:rFonts w:hint="eastAsia" w:ascii="黑体" w:hAnsi="黑体" w:eastAsia="黑体"/>
          <w:b w:val="0"/>
          <w:sz w:val="30"/>
          <w:szCs w:val="30"/>
        </w:rPr>
        <w:t>、关于</w:t>
      </w:r>
      <w:r>
        <w:rPr>
          <w:rFonts w:ascii="黑体" w:hAnsi="黑体" w:eastAsia="黑体"/>
          <w:b w:val="0"/>
          <w:sz w:val="30"/>
          <w:szCs w:val="30"/>
        </w:rPr>
        <w:t>一般公共预算支出</w:t>
      </w:r>
      <w:r>
        <w:rPr>
          <w:rFonts w:hint="eastAsia" w:ascii="黑体" w:hAnsi="黑体" w:eastAsia="黑体"/>
          <w:b w:val="0"/>
          <w:sz w:val="30"/>
          <w:szCs w:val="30"/>
        </w:rPr>
        <w:t>情况表</w:t>
      </w:r>
      <w:bookmarkEnd w:id="8"/>
      <w:r>
        <w:rPr>
          <w:rFonts w:hint="eastAsia" w:ascii="黑体" w:hAnsi="黑体" w:eastAsia="黑体"/>
          <w:b w:val="0"/>
          <w:sz w:val="30"/>
          <w:szCs w:val="30"/>
        </w:rPr>
        <w:t>的说明</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（一）总体情况。</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天津市河北区大数据管理中心2024年一般公共预算支出1,647,616.00元，与2023年预算相比增加218,892.00元，主要原因是人员变动。</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lang w:eastAsia="zh-CN"/>
        </w:rPr>
        <w:t>（</w:t>
      </w:r>
      <w:r>
        <w:rPr>
          <w:rFonts w:hint="eastAsia" w:ascii="楷体" w:hAnsi="楷体" w:eastAsia="楷体" w:cs="仿宋_GB2312"/>
          <w:b/>
          <w:sz w:val="30"/>
          <w:szCs w:val="30"/>
          <w:lang w:val="en-US" w:eastAsia="zh-CN"/>
        </w:rPr>
        <w:t>二</w:t>
      </w:r>
      <w:r>
        <w:rPr>
          <w:rFonts w:hint="eastAsia" w:ascii="楷体" w:hAnsi="楷体" w:eastAsia="楷体" w:cs="仿宋_GB2312"/>
          <w:b/>
          <w:sz w:val="30"/>
          <w:szCs w:val="30"/>
          <w:lang w:eastAsia="zh-CN"/>
        </w:rPr>
        <w:t>）</w:t>
      </w:r>
      <w:r>
        <w:rPr>
          <w:rFonts w:hint="eastAsia" w:ascii="楷体" w:hAnsi="楷体" w:eastAsia="楷体" w:cs="仿宋_GB2312"/>
          <w:b/>
          <w:sz w:val="30"/>
          <w:szCs w:val="30"/>
        </w:rPr>
        <w:t>具体情况。</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1.“一般公共服务支出（类）”1,359,889.00元，与2023年预算相比增加141,790.00元，主要原因是人员变动。其中：</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“网信事务（款）”1,359,889.00元，包括：“事业运行（项）”1,359,889.00元，主要用于人员经费和公用经费支出。</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2.“社会保障和就业支出（类）”174,822.00元，与2023年预算相比增加28,300.00元，主要原因是人员变动。其中：</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行政事业单位养老支出（款）”174,822.00元，包括：“机关事业单位基本养老保险缴费支出（项）”116,548.00元，主要用于机关事业单位基本养老保险缴费支出。“机关事业单位职业年金缴费支出（项）”58,274.00元，主要用于机关事业单位职业年金缴费支出。</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3.“卫生健康支出（类）”112,905.00元，与2023年预算相比增加48,802.00元，主要原因是人员变动。其中：</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“行政事业单位医疗（款）”112,905.00元，包括：“事业单位医疗（项）”76,484.00元，主要用于事业单位医疗支出。“其他行政事业单位医疗支出（项）”36,421.00元，主要用于其他行政事业单位医疗支出。</w:t>
      </w:r>
    </w:p>
    <w:p>
      <w:pPr>
        <w:numPr>
          <w:ilvl w:val="0"/>
          <w:numId w:val="0"/>
        </w:numPr>
        <w:spacing w:line="600" w:lineRule="exact"/>
        <w:rPr>
          <w:rFonts w:hint="eastAsia" w:ascii="楷体" w:hAnsi="楷体" w:eastAsia="楷体" w:cs="仿宋_GB2312"/>
          <w:b/>
          <w:sz w:val="30"/>
          <w:szCs w:val="30"/>
        </w:rPr>
      </w:pPr>
    </w:p>
    <w:p>
      <w:pPr>
        <w:pStyle w:val="3"/>
        <w:spacing w:line="600" w:lineRule="exact"/>
        <w:ind w:firstLine="600" w:firstLineChars="200"/>
        <w:rPr>
          <w:rFonts w:ascii="黑体" w:hAnsi="黑体" w:eastAsia="黑体"/>
          <w:b w:val="0"/>
          <w:sz w:val="30"/>
          <w:szCs w:val="30"/>
        </w:rPr>
      </w:pPr>
      <w:bookmarkStart w:id="9" w:name="_Toc78784576"/>
      <w:r>
        <w:rPr>
          <w:rFonts w:ascii="黑体" w:hAnsi="黑体" w:eastAsia="黑体"/>
          <w:b w:val="0"/>
          <w:sz w:val="30"/>
          <w:szCs w:val="30"/>
        </w:rPr>
        <w:t>六、</w:t>
      </w:r>
      <w:r>
        <w:rPr>
          <w:rFonts w:hint="eastAsia" w:ascii="黑体" w:hAnsi="黑体" w:eastAsia="黑体"/>
          <w:b w:val="0"/>
          <w:sz w:val="30"/>
          <w:szCs w:val="30"/>
        </w:rPr>
        <w:t>关于</w:t>
      </w:r>
      <w:r>
        <w:rPr>
          <w:rFonts w:ascii="黑体" w:hAnsi="黑体" w:eastAsia="黑体"/>
          <w:b w:val="0"/>
          <w:sz w:val="30"/>
          <w:szCs w:val="30"/>
        </w:rPr>
        <w:t>一般公共预算基本支出情况</w:t>
      </w:r>
      <w:bookmarkEnd w:id="9"/>
      <w:r>
        <w:rPr>
          <w:rFonts w:hint="eastAsia" w:ascii="黑体" w:hAnsi="黑体" w:eastAsia="黑体"/>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bookmarkStart w:id="10" w:name="_Toc78784577"/>
      <w:r>
        <w:rPr>
          <w:rFonts w:hint="eastAsia" w:ascii="仿宋_GB2312" w:hAnsi="Times New Roman" w:eastAsia="仿宋_GB2312" w:cs="Times New Roman"/>
          <w:sz w:val="30"/>
          <w:szCs w:val="30"/>
          <w:lang w:val="en-US" w:eastAsia="zh-CN"/>
        </w:rPr>
        <w:t>天津市河北区大数据管理中心一般公共预算基本支出1,647,616.00元，与2023年预算相比增加218,892.00元，主要原因是人员变动。其中：</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人员经费1,552,138.00元，主要包括：基本工资、津贴补贴、绩效工资、机关事业单位基本养老保险缴费、职业年金缴费、职工基本医疗保险缴费、其他社会保障缴费、住房公积金、医疗费。</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公用经费95,478.00元，主要包括：办公费、水费、电费、邮电费、差旅费、维修(护)费、培训费、工会经费、福利费。</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七、关于一般公共预算“三公”经费支出情况表的说明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2024年一般公共预算“三公”经费安排0.00元，与2023年预算相比增加（减少）0.00元，主要原因是本部门一般公共预算未安排“三公”经费。具体情况：</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一、2024年因公出国（境）费预算0.00元，与2023年预算相比增加（减少）0.00元，主要原因是本部门一般公共预算未安排“因公出国（境）”费。</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二、2024年公务用车购置及运行费预算0.00元，其中公务用车运行费0.00元，与2023年预算相比增加（减少）0.00元，主要原因是本部门一般公共预算未安排“公务用车运行”费；公务用车购置费0.00元，与2023年预算相比增加（减少）0.00元，主要原因是本部门一般公共预算未安排“公务用车购置”费。</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三、2024年公务接待费预算0.00元，与2023年预算相比增加（减少）0.00元，主要原因是本部门一般公共预算未安排“公务接待”费。</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八</w:t>
      </w:r>
      <w:r>
        <w:rPr>
          <w:rFonts w:ascii="黑体" w:hAnsi="黑体" w:eastAsia="黑体"/>
          <w:b w:val="0"/>
          <w:sz w:val="30"/>
          <w:szCs w:val="30"/>
        </w:rPr>
        <w:t>、</w:t>
      </w:r>
      <w:r>
        <w:rPr>
          <w:rFonts w:hint="eastAsia" w:ascii="黑体" w:hAnsi="黑体" w:eastAsia="黑体"/>
          <w:b w:val="0"/>
          <w:sz w:val="30"/>
          <w:szCs w:val="30"/>
        </w:rPr>
        <w:t>关于</w:t>
      </w:r>
      <w:r>
        <w:rPr>
          <w:rFonts w:ascii="黑体" w:hAnsi="黑体" w:eastAsia="黑体"/>
          <w:b w:val="0"/>
          <w:sz w:val="30"/>
          <w:szCs w:val="30"/>
        </w:rPr>
        <w:t>政府性基金预算</w:t>
      </w:r>
      <w:r>
        <w:rPr>
          <w:rFonts w:hint="eastAsia" w:ascii="黑体" w:hAnsi="黑体" w:eastAsia="黑体"/>
          <w:b w:val="0"/>
          <w:sz w:val="30"/>
          <w:szCs w:val="30"/>
        </w:rPr>
        <w:t>支出</w:t>
      </w:r>
      <w:r>
        <w:rPr>
          <w:rFonts w:ascii="黑体" w:hAnsi="黑体" w:eastAsia="黑体"/>
          <w:b w:val="0"/>
          <w:sz w:val="30"/>
          <w:szCs w:val="30"/>
        </w:rPr>
        <w:t>情况</w:t>
      </w:r>
      <w:bookmarkEnd w:id="10"/>
      <w:r>
        <w:rPr>
          <w:rFonts w:hint="eastAsia" w:ascii="黑体" w:hAnsi="黑体" w:eastAsia="黑体"/>
          <w:b w:val="0"/>
          <w:sz w:val="30"/>
          <w:szCs w:val="30"/>
        </w:rPr>
        <w:t>表的说明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2" w:firstLineChars="200"/>
        <w:textAlignment w:val="baseline"/>
        <w:rPr>
          <w:rFonts w:hint="default" w:eastAsia="仿宋_GB2312"/>
          <w:sz w:val="30"/>
          <w:szCs w:val="30"/>
          <w:lang w:val="en-US"/>
        </w:rPr>
      </w:pPr>
      <w:r>
        <w:rPr>
          <w:rFonts w:hint="eastAsia" w:ascii="楷体" w:hAnsi="楷体" w:eastAsia="楷体" w:cs="仿宋_GB2312"/>
          <w:b/>
          <w:sz w:val="30"/>
          <w:szCs w:val="30"/>
          <w:lang w:val="en-US" w:eastAsia="zh-CN"/>
        </w:rPr>
        <w:t xml:space="preserve"> </w:t>
      </w:r>
      <w:r>
        <w:rPr>
          <w:rFonts w:hint="eastAsia" w:ascii="仿宋_GB2312" w:hAnsi="Times New Roman" w:eastAsia="仿宋_GB2312" w:cs="Times New Roman"/>
          <w:sz w:val="30"/>
          <w:szCs w:val="30"/>
          <w:lang w:val="en-US" w:eastAsia="zh-CN"/>
        </w:rPr>
        <w:t>2024年天津市河北区大数据管理中心预算中没有使用政府性基金预算安排的支出。</w:t>
      </w:r>
      <w:r>
        <w:rPr>
          <w:rFonts w:hint="eastAsia" w:ascii="楷体" w:hAnsi="楷体" w:eastAsia="楷体" w:cs="仿宋_GB2312"/>
          <w:b/>
          <w:sz w:val="30"/>
          <w:szCs w:val="30"/>
          <w:lang w:val="en-US" w:eastAsia="zh-CN"/>
        </w:rPr>
        <w:t xml:space="preserve"> </w:t>
      </w:r>
      <w:bookmarkStart w:id="11" w:name="_Toc78784578"/>
      <w:r>
        <w:rPr>
          <w:rFonts w:hint="eastAsia" w:ascii="仿宋_GB2312" w:hAnsi="Times New Roman" w:eastAsia="仿宋_GB2312" w:cs="Times New Roman"/>
          <w:sz w:val="30"/>
          <w:szCs w:val="30"/>
          <w:lang w:val="en-US" w:eastAsia="zh-CN"/>
        </w:rPr>
        <w:t xml:space="preserve"> </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九、关于国有资本经营预算支出情况表</w:t>
      </w:r>
      <w:bookmarkEnd w:id="11"/>
      <w:r>
        <w:rPr>
          <w:rFonts w:hint="eastAsia" w:ascii="黑体" w:hAnsi="黑体" w:eastAsia="黑体"/>
          <w:b w:val="0"/>
          <w:sz w:val="30"/>
          <w:szCs w:val="30"/>
        </w:rPr>
        <w:t>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2" w:firstLineChars="200"/>
        <w:textAlignment w:val="baseline"/>
      </w:pPr>
      <w:r>
        <w:rPr>
          <w:rFonts w:hint="eastAsia" w:ascii="楷体" w:hAnsi="楷体" w:eastAsia="楷体" w:cs="仿宋_GB2312"/>
          <w:b/>
          <w:sz w:val="30"/>
          <w:szCs w:val="30"/>
          <w:lang w:val="en-US" w:eastAsia="zh-CN"/>
        </w:rPr>
        <w:t xml:space="preserve"> </w:t>
      </w:r>
      <w:r>
        <w:rPr>
          <w:rFonts w:hint="eastAsia" w:ascii="仿宋_GB2312" w:hAnsi="Times New Roman" w:eastAsia="仿宋_GB2312" w:cs="Times New Roman"/>
          <w:sz w:val="30"/>
          <w:szCs w:val="30"/>
          <w:lang w:val="en-US" w:eastAsia="zh-CN"/>
        </w:rPr>
        <w:t>2024年天津市河北区大数据管理中心预算中没有使用国有资本经营预算预算安排的支出。</w:t>
      </w:r>
      <w:r>
        <w:rPr>
          <w:rFonts w:hint="eastAsia" w:ascii="楷体" w:hAnsi="楷体" w:eastAsia="楷体" w:cs="仿宋_GB2312"/>
          <w:b/>
          <w:sz w:val="30"/>
          <w:szCs w:val="30"/>
          <w:lang w:val="en-US" w:eastAsia="zh-CN"/>
        </w:rPr>
        <w:t xml:space="preserve"> </w:t>
      </w:r>
      <w:r>
        <w:rPr>
          <w:rFonts w:hint="eastAsia" w:ascii="仿宋_GB2312" w:hAnsi="Times New Roman" w:eastAsia="仿宋_GB2312" w:cs="Times New Roman"/>
          <w:sz w:val="30"/>
          <w:szCs w:val="30"/>
          <w:lang w:val="en-US" w:eastAsia="zh-CN"/>
        </w:rPr>
        <w:t xml:space="preserve"> </w:t>
      </w:r>
    </w:p>
    <w:p>
      <w:pPr>
        <w:pStyle w:val="3"/>
        <w:spacing w:line="600" w:lineRule="exact"/>
        <w:ind w:firstLine="600" w:firstLineChars="200"/>
        <w:rPr>
          <w:rFonts w:hint="eastAsia" w:ascii="黑体" w:hAnsi="黑体" w:eastAsia="黑体"/>
          <w:b w:val="0"/>
          <w:sz w:val="30"/>
          <w:szCs w:val="30"/>
        </w:rPr>
      </w:pPr>
      <w:bookmarkStart w:id="12" w:name="_Toc78784579"/>
      <w:r>
        <w:rPr>
          <w:rFonts w:hint="eastAsia" w:ascii="黑体" w:hAnsi="黑体" w:eastAsia="黑体"/>
          <w:b w:val="0"/>
          <w:sz w:val="30"/>
          <w:szCs w:val="30"/>
        </w:rPr>
        <w:t>十、其他重要事项的情况说明</w:t>
      </w:r>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w:t>
      </w:r>
      <w:r>
        <w:rPr>
          <w:rFonts w:ascii="楷体" w:hAnsi="楷体" w:eastAsia="楷体" w:cs="仿宋_GB2312"/>
          <w:b/>
          <w:sz w:val="30"/>
          <w:szCs w:val="30"/>
        </w:rPr>
        <w:t>机关运行经费</w:t>
      </w:r>
      <w:bookmarkEnd w:id="12"/>
      <w:r>
        <w:rPr>
          <w:rFonts w:hint="eastAsia" w:ascii="楷体" w:hAnsi="楷体" w:eastAsia="楷体" w:cs="仿宋_GB2312"/>
          <w:b/>
          <w:sz w:val="30"/>
          <w:szCs w:val="30"/>
        </w:rPr>
        <w:t>。</w:t>
      </w:r>
    </w:p>
    <w:p>
      <w:pPr>
        <w:spacing w:line="580" w:lineRule="exact"/>
        <w:ind w:firstLine="600" w:firstLineChars="200"/>
        <w:rPr>
          <w:rFonts w:hint="eastAsia" w:eastAsia="楷体_GB2312"/>
          <w:sz w:val="30"/>
          <w:szCs w:val="30"/>
        </w:rPr>
      </w:pPr>
      <w:r>
        <w:rPr>
          <w:rFonts w:hint="eastAsia" w:ascii="仿宋_GB2312" w:hAnsi="仿宋_GB2312" w:eastAsia="仿宋_GB2312" w:cs="仿宋_GB2312"/>
          <w:sz w:val="30"/>
          <w:szCs w:val="30"/>
          <w:lang w:val="en-US" w:eastAsia="zh-CN"/>
        </w:rPr>
        <w:t>本部门2024年未安排机关运行经费预算。</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（二）政府采购情况。</w:t>
      </w:r>
    </w:p>
    <w:p>
      <w:pPr>
        <w:spacing w:line="580" w:lineRule="exact"/>
        <w:ind w:firstLine="600" w:firstLineChars="200"/>
        <w:rPr>
          <w:rFonts w:hint="eastAsia" w:eastAsia="楷体_GB2312"/>
          <w:sz w:val="30"/>
          <w:szCs w:val="30"/>
        </w:rPr>
      </w:pPr>
      <w:r>
        <w:rPr>
          <w:rFonts w:hint="eastAsia" w:ascii="仿宋_GB2312" w:hAnsi="仿宋_GB2312" w:eastAsia="仿宋_GB2312" w:cs="仿宋_GB2312"/>
          <w:sz w:val="30"/>
          <w:szCs w:val="30"/>
          <w:lang w:val="en-US" w:eastAsia="zh-CN"/>
        </w:rPr>
        <w:t>本部门2024年未安排政府采购预算。</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（三）国有资产占用情况。</w:t>
      </w:r>
    </w:p>
    <w:p>
      <w:pPr>
        <w:spacing w:line="580" w:lineRule="exact"/>
        <w:ind w:firstLine="600" w:firstLineChars="200"/>
        <w:jc w:val="both"/>
        <w:rPr>
          <w:rFonts w:hint="eastAsia" w:eastAsia="仿宋_GB2312"/>
          <w:sz w:val="30"/>
          <w:szCs w:val="30"/>
        </w:rPr>
      </w:pPr>
      <w:r>
        <w:rPr>
          <w:rFonts w:hint="eastAsia" w:ascii="仿宋_GB2312" w:hAnsi="仿宋_GB2312" w:eastAsia="仿宋_GB2312" w:cs="仿宋_GB2312"/>
          <w:color w:val="000000"/>
          <w:sz w:val="30"/>
          <w:szCs w:val="30"/>
          <w:lang w:val="en-US" w:eastAsia="zh-CN"/>
        </w:rPr>
        <w:t>截至2023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（四）预算绩效情况说明。</w:t>
      </w:r>
    </w:p>
    <w:p>
      <w:pPr>
        <w:spacing w:line="580" w:lineRule="exact"/>
        <w:ind w:firstLine="600" w:firstLineChars="200"/>
        <w:jc w:val="both"/>
        <w:rPr>
          <w:rFonts w:hint="eastAsia" w:ascii="仿宋_GB2312" w:hAnsi="仿宋_GB2312" w:eastAsia="仿宋_GB2312" w:cs="仿宋_GB2312"/>
          <w:sz w:val="30"/>
          <w:szCs w:val="30"/>
          <w:lang w:val="en-US" w:eastAsia="zh-CN"/>
        </w:rPr>
        <w:sectPr>
          <w:pgSz w:w="11907" w:h="16840"/>
          <w:pgMar w:top="2098" w:right="1474" w:bottom="1304" w:left="1588" w:header="765" w:footer="765" w:gutter="0"/>
          <w:pgNumType w:fmt="numberInDash" w:start="1"/>
          <w:cols w:space="720" w:num="1"/>
          <w:docGrid w:linePitch="326" w:charSpace="0"/>
        </w:sectPr>
      </w:pPr>
      <w:r>
        <w:rPr>
          <w:rFonts w:hint="eastAsia" w:ascii="仿宋_GB2312" w:hAnsi="仿宋_GB2312" w:eastAsia="仿宋_GB2312" w:cs="仿宋_GB2312"/>
          <w:sz w:val="30"/>
          <w:szCs w:val="30"/>
          <w:lang w:val="en-US" w:eastAsia="zh-CN"/>
        </w:rPr>
        <w:t>本部门2024年实行绩效目标管理的项目0个，涉及预算金额0.00元。</w:t>
      </w:r>
    </w:p>
    <w:p>
      <w:pPr>
        <w:spacing w:line="580" w:lineRule="exact"/>
        <w:jc w:val="both"/>
        <w:rPr>
          <w:rFonts w:hint="eastAsia" w:ascii="仿宋_GB2312" w:hAnsi="仿宋_GB2312" w:eastAsia="仿宋_GB2312" w:cs="仿宋_GB2312"/>
          <w:sz w:val="30"/>
          <w:szCs w:val="30"/>
          <w:lang w:val="en-US" w:eastAsia="zh-CN"/>
        </w:rPr>
      </w:pPr>
    </w:p>
    <w:p>
      <w:pPr>
        <w:pStyle w:val="2"/>
        <w:spacing w:line="600" w:lineRule="exact"/>
        <w:jc w:val="center"/>
        <w:rPr>
          <w:rFonts w:hint="eastAsia" w:ascii="黑体" w:hAnsi="黑体" w:eastAsia="黑体" w:cs="黑体"/>
          <w:b/>
          <w:bCs/>
          <w:sz w:val="44"/>
          <w:szCs w:val="44"/>
        </w:rPr>
      </w:pPr>
      <w:bookmarkStart w:id="13" w:name="_Toc78784585"/>
      <w:r>
        <w:rPr>
          <w:rFonts w:hint="eastAsia" w:ascii="黑体" w:hAnsi="黑体" w:eastAsia="黑体" w:cs="黑体"/>
          <w:b/>
          <w:bCs/>
          <w:sz w:val="44"/>
          <w:szCs w:val="44"/>
        </w:rPr>
        <w:t>第三部分  名词解释</w:t>
      </w:r>
      <w:bookmarkEnd w:id="13"/>
    </w:p>
    <w:p>
      <w:pPr>
        <w:spacing w:line="600" w:lineRule="exact"/>
        <w:ind w:firstLine="600" w:firstLineChars="200"/>
        <w:rPr>
          <w:rFonts w:hint="eastAsia" w:ascii="仿宋_GB2312" w:eastAsia="仿宋_GB2312"/>
          <w:sz w:val="30"/>
          <w:szCs w:val="30"/>
        </w:rPr>
      </w:pPr>
    </w:p>
    <w:p>
      <w:pPr>
        <w:spacing w:line="580" w:lineRule="exact"/>
        <w:ind w:firstLine="600" w:firstLineChars="200"/>
        <w:rPr>
          <w:rFonts w:hint="eastAsia" w:eastAsia="仿宋_GB2312"/>
          <w:sz w:val="30"/>
          <w:szCs w:val="30"/>
        </w:rPr>
      </w:pPr>
      <w:r>
        <w:rPr>
          <w:rFonts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firstLineChars="200"/>
        <w:rPr>
          <w:rFonts w:hint="eastAsia" w:eastAsia="仿宋_GB2312"/>
          <w:sz w:val="30"/>
          <w:szCs w:val="30"/>
        </w:rPr>
      </w:pPr>
      <w:r>
        <w:rPr>
          <w:rFonts w:hint="eastAsia" w:eastAsia="仿宋_GB2312"/>
          <w:sz w:val="30"/>
          <w:szCs w:val="30"/>
        </w:rPr>
        <w:t>2.</w:t>
      </w:r>
      <w:r>
        <w:rPr>
          <w:rFonts w:eastAsia="仿宋_GB2312"/>
          <w:sz w:val="30"/>
          <w:szCs w:val="30"/>
        </w:rPr>
        <w:t xml:space="preserve"> 机关运行经费</w:t>
      </w:r>
      <w:r>
        <w:rPr>
          <w:rFonts w:hint="eastAsia" w:eastAsia="仿宋_GB2312"/>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0"/>
          <w:szCs w:val="30"/>
        </w:rPr>
        <w:t>。</w:t>
      </w:r>
    </w:p>
    <w:p>
      <w:pPr>
        <w:spacing w:line="580" w:lineRule="exact"/>
        <w:ind w:firstLine="600" w:firstLineChars="200"/>
        <w:rPr>
          <w:rFonts w:hint="eastAsia" w:eastAsia="楷体_GB2312"/>
          <w:sz w:val="30"/>
          <w:szCs w:val="30"/>
        </w:rPr>
      </w:pPr>
      <w:r>
        <w:rPr>
          <w:rFonts w:hint="eastAsia" w:eastAsia="楷体_GB2312"/>
          <w:sz w:val="30"/>
          <w:szCs w:val="30"/>
        </w:rPr>
        <w:t>（“部门预算”和“机关运行经费”作为专业性名词各单位必须公开。除此之外，</w:t>
      </w:r>
      <w:r>
        <w:rPr>
          <w:rFonts w:eastAsia="楷体_GB2312"/>
          <w:sz w:val="30"/>
          <w:szCs w:val="30"/>
        </w:rPr>
        <w:t>各单位可</w:t>
      </w:r>
      <w:r>
        <w:rPr>
          <w:rFonts w:hint="eastAsia" w:eastAsia="楷体_GB2312"/>
          <w:sz w:val="30"/>
          <w:szCs w:val="30"/>
        </w:rPr>
        <w:t>根据需要对说明中其他专业性较强名词</w:t>
      </w:r>
      <w:r>
        <w:rPr>
          <w:rFonts w:eastAsia="楷体_GB2312"/>
          <w:sz w:val="30"/>
          <w:szCs w:val="30"/>
        </w:rPr>
        <w:t>进行解释</w:t>
      </w:r>
      <w:r>
        <w:rPr>
          <w:rFonts w:hint="eastAsia" w:eastAsia="楷体_GB2312"/>
          <w:sz w:val="30"/>
          <w:szCs w:val="30"/>
        </w:rPr>
        <w:t>。</w:t>
      </w:r>
      <w:r>
        <w:rPr>
          <w:rFonts w:eastAsia="楷体_GB2312"/>
          <w:sz w:val="30"/>
          <w:szCs w:val="30"/>
        </w:rPr>
        <w:t>）</w:t>
      </w: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eastAsia="楷体_GB2312"/>
          <w:sz w:val="30"/>
          <w:szCs w:val="30"/>
        </w:rPr>
      </w:pPr>
    </w:p>
    <w:p>
      <w:pPr>
        <w:pStyle w:val="2"/>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rPr>
        <w:t>第四部分  20</w:t>
      </w:r>
      <w:r>
        <w:rPr>
          <w:rFonts w:hint="eastAsia" w:ascii="黑体" w:hAnsi="黑体" w:eastAsia="黑体" w:cs="黑体"/>
          <w:b/>
          <w:bCs/>
          <w:sz w:val="44"/>
          <w:szCs w:val="44"/>
          <w:lang w:eastAsia="zh-CN"/>
        </w:rPr>
        <w:t>24</w:t>
      </w:r>
      <w:r>
        <w:rPr>
          <w:rFonts w:hint="eastAsia" w:ascii="黑体" w:hAnsi="黑体" w:eastAsia="黑体" w:cs="黑体"/>
          <w:b/>
          <w:bCs/>
          <w:sz w:val="44"/>
          <w:szCs w:val="44"/>
        </w:rPr>
        <w:t>年部门预算表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一、《部门收支总体情况表》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二、《部门收入总体情况表》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三、《部门支出总体情况表》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四、《财政拨款收支总体情况表》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五、《一般公共预算支出情况表》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六、《一般公共预算基本支出情况表》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七、《一般公共预算“三公”经费支出情况表》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八、《政府性基金预算支出情况表》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九、《国有资本经营预算支出情况表》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十、《项目支出表》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十一、关于空表的说明</w:t>
      </w:r>
      <w:r>
        <w:rPr>
          <w:rFonts w:hint="eastAsia" w:ascii="楷体_GB2312" w:hAnsi="Times New Roman" w:eastAsia="楷体_GB2312"/>
          <w:b/>
          <w:sz w:val="30"/>
          <w:szCs w:val="30"/>
        </w:rPr>
        <w:tab/>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hAnsi="仿宋_GB2312" w:eastAsia="仿宋_GB2312" w:cs="仿宋_GB2312"/>
          <w:sz w:val="30"/>
          <w:szCs w:val="30"/>
          <w:lang w:val="en-US" w:eastAsia="zh-CN"/>
        </w:rPr>
      </w:pPr>
      <w:bookmarkStart w:id="14" w:name="_GoBack"/>
      <w:bookmarkEnd w:id="14"/>
      <w:r>
        <w:rPr>
          <w:rFonts w:hint="eastAsia" w:ascii="仿宋_GB2312" w:hAnsi="仿宋_GB2312" w:eastAsia="仿宋_GB2312" w:cs="仿宋_GB2312"/>
          <w:sz w:val="30"/>
          <w:szCs w:val="30"/>
          <w:lang w:val="en-US" w:eastAsia="zh-CN"/>
        </w:rPr>
        <w:t>1.“本单位（部门）2024年一般公共预算“三公”经费支出情况表为空表”。</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2.“本单位（部门）2024年政府性基金预算支出情况表为空表”。</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3.“本单位（部门）2024年国有资本经营预算支出情况表为空表”。</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4.“本单位（部门）2024年项目支出表为空表”。</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hAnsi="仿宋_GB2312" w:eastAsia="仿宋_GB2312" w:cs="仿宋_GB2312"/>
          <w:sz w:val="30"/>
          <w:szCs w:val="30"/>
          <w:lang w:val="en-US" w:eastAsia="zh-CN"/>
        </w:rPr>
      </w:pPr>
    </w:p>
    <w:p>
      <w:pPr>
        <w:spacing w:line="560" w:lineRule="exact"/>
        <w:rPr>
          <w:rFonts w:hint="eastAsia" w:eastAsia="楷体"/>
          <w:sz w:val="30"/>
          <w:szCs w:val="30"/>
        </w:rPr>
      </w:pPr>
    </w:p>
    <w:p>
      <w:pPr>
        <w:spacing w:line="560" w:lineRule="exact"/>
        <w:ind w:firstLine="600" w:firstLineChars="200"/>
        <w:rPr>
          <w:rFonts w:eastAsia="楷体_GB2312"/>
          <w:sz w:val="30"/>
          <w:szCs w:val="30"/>
        </w:rPr>
      </w:pPr>
      <w:r>
        <w:rPr>
          <w:rFonts w:hint="eastAsia" w:eastAsia="楷体"/>
          <w:sz w:val="30"/>
          <w:szCs w:val="30"/>
        </w:rPr>
        <w:t>注：以上预算公开表均作为附表，附于预算公开说明文档后。</w:t>
      </w:r>
    </w:p>
    <w:sectPr>
      <w:pgSz w:w="11907" w:h="16840"/>
      <w:pgMar w:top="2098" w:right="1474" w:bottom="1304" w:left="1588" w:header="765" w:footer="765" w:gutter="0"/>
      <w:pgNumType w:fmt="numberInDash"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separate"/>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w:t>
    </w:r>
    <w:r>
      <w:t xml:space="preserve"> 5 -</w:t>
    </w:r>
    <w:r>
      <w:fldChar w:fldCharType="end"/>
    </w:r>
  </w:p>
  <w:p>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1YjE1OTI0ZjFiOGFhMWM4MWNjMzdkNjI3N2RmY2MifQ=="/>
  </w:docVars>
  <w:rsids>
    <w:rsidRoot w:val="00937D77"/>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4417"/>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154E2"/>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6157A01"/>
    <w:rsid w:val="18D47700"/>
    <w:rsid w:val="1C4240E5"/>
    <w:rsid w:val="1C7E45DE"/>
    <w:rsid w:val="1CA10322"/>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4866E56"/>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 w:val="DEFFAB64"/>
    <w:rsid w:val="F51C35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2"/>
    <w:autoRedefine/>
    <w:qFormat/>
    <w:uiPriority w:val="9"/>
    <w:pPr>
      <w:keepNext/>
      <w:keepLines/>
      <w:spacing w:before="340" w:after="330" w:line="578" w:lineRule="atLeast"/>
      <w:outlineLvl w:val="0"/>
    </w:pPr>
    <w:rPr>
      <w:rFonts w:ascii="Times New Roman" w:hAnsi="Times New Roman"/>
      <w:b/>
      <w:bCs/>
      <w:kern w:val="44"/>
      <w:sz w:val="44"/>
      <w:szCs w:val="44"/>
    </w:rPr>
  </w:style>
  <w:style w:type="paragraph" w:styleId="3">
    <w:name w:val="heading 2"/>
    <w:basedOn w:val="1"/>
    <w:next w:val="1"/>
    <w:link w:val="13"/>
    <w:qFormat/>
    <w:uiPriority w:val="9"/>
    <w:pPr>
      <w:keepNext/>
      <w:keepLines/>
      <w:spacing w:before="260" w:after="260" w:line="416" w:lineRule="atLeast"/>
      <w:outlineLvl w:val="1"/>
    </w:pPr>
    <w:rPr>
      <w:rFonts w:ascii="Cambria" w:hAnsi="Cambria"/>
      <w:b/>
      <w:bCs/>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Document Map"/>
    <w:basedOn w:val="1"/>
    <w:autoRedefine/>
    <w:semiHidden/>
    <w:qFormat/>
    <w:uiPriority w:val="0"/>
    <w:pPr>
      <w:shd w:val="clear" w:color="auto" w:fill="000080"/>
    </w:pPr>
  </w:style>
  <w:style w:type="paragraph" w:styleId="5">
    <w:name w:val="Balloon Text"/>
    <w:basedOn w:val="1"/>
    <w:link w:val="14"/>
    <w:autoRedefine/>
    <w:qFormat/>
    <w:uiPriority w:val="0"/>
    <w:pPr>
      <w:spacing w:line="240" w:lineRule="auto"/>
    </w:pPr>
    <w:rPr>
      <w:sz w:val="18"/>
      <w:szCs w:val="18"/>
    </w:rPr>
  </w:style>
  <w:style w:type="paragraph" w:styleId="6">
    <w:name w:val="footer"/>
    <w:basedOn w:val="1"/>
    <w:link w:val="15"/>
    <w:autoRedefine/>
    <w:qFormat/>
    <w:uiPriority w:val="99"/>
    <w:pPr>
      <w:tabs>
        <w:tab w:val="center" w:pos="4153"/>
        <w:tab w:val="right" w:pos="8306"/>
      </w:tabs>
      <w:snapToGrid w:val="0"/>
      <w:spacing w:line="240" w:lineRule="atLeas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autoRedefine/>
    <w:unhideWhenUsed/>
    <w:qFormat/>
    <w:uiPriority w:val="39"/>
    <w:pPr>
      <w:widowControl/>
      <w:adjustRightInd/>
      <w:spacing w:after="100" w:line="276" w:lineRule="auto"/>
      <w:ind w:left="220"/>
      <w:textAlignment w:val="auto"/>
    </w:pPr>
    <w:rPr>
      <w:rFonts w:ascii="Calibri" w:hAnsi="Calibri"/>
      <w:sz w:val="22"/>
      <w:szCs w:val="22"/>
    </w:rPr>
  </w:style>
  <w:style w:type="character" w:styleId="11">
    <w:name w:val="page number"/>
    <w:autoRedefine/>
    <w:qFormat/>
    <w:uiPriority w:val="0"/>
  </w:style>
  <w:style w:type="character" w:customStyle="1" w:styleId="12">
    <w:name w:val="标题 1 Char"/>
    <w:link w:val="2"/>
    <w:autoRedefine/>
    <w:qFormat/>
    <w:uiPriority w:val="9"/>
    <w:rPr>
      <w:rFonts w:ascii="Times New Roman" w:hAnsi="Times New Roman"/>
      <w:b/>
      <w:bCs/>
      <w:kern w:val="44"/>
      <w:sz w:val="44"/>
      <w:szCs w:val="44"/>
    </w:rPr>
  </w:style>
  <w:style w:type="character" w:customStyle="1" w:styleId="13">
    <w:name w:val="标题 2 Char"/>
    <w:link w:val="3"/>
    <w:autoRedefine/>
    <w:qFormat/>
    <w:uiPriority w:val="9"/>
    <w:rPr>
      <w:rFonts w:ascii="Cambria" w:hAnsi="Cambria"/>
      <w:b/>
      <w:bCs/>
      <w:sz w:val="32"/>
      <w:szCs w:val="32"/>
    </w:rPr>
  </w:style>
  <w:style w:type="character" w:customStyle="1" w:styleId="14">
    <w:name w:val="批注框文本 Char"/>
    <w:link w:val="5"/>
    <w:autoRedefine/>
    <w:qFormat/>
    <w:uiPriority w:val="0"/>
    <w:rPr>
      <w:sz w:val="18"/>
      <w:szCs w:val="18"/>
    </w:rPr>
  </w:style>
  <w:style w:type="character" w:customStyle="1" w:styleId="15">
    <w:name w:val="页脚 Char"/>
    <w:link w:val="6"/>
    <w:autoRedefine/>
    <w:qFormat/>
    <w:uiPriority w:val="99"/>
    <w:rPr>
      <w:sz w:val="18"/>
      <w:szCs w:val="18"/>
    </w:rPr>
  </w:style>
  <w:style w:type="paragraph" w:customStyle="1" w:styleId="16">
    <w:name w:val="Char Char"/>
    <w:basedOn w:val="4"/>
    <w:autoRedefine/>
    <w:qFormat/>
    <w:uiPriority w:val="0"/>
    <w:pPr>
      <w:adjustRightInd/>
      <w:spacing w:line="240" w:lineRule="auto"/>
      <w:jc w:val="both"/>
      <w:textAlignment w:val="auto"/>
    </w:pPr>
  </w:style>
  <w:style w:type="paragraph" w:styleId="17">
    <w:name w:val="List Paragraph"/>
    <w:basedOn w:val="1"/>
    <w:autoRedefine/>
    <w:qFormat/>
    <w:uiPriority w:val="34"/>
    <w:pPr>
      <w:adjustRightInd/>
      <w:spacing w:line="240" w:lineRule="auto"/>
      <w:ind w:firstLine="420" w:firstLineChars="200"/>
      <w:jc w:val="both"/>
      <w:textAlignment w:val="auto"/>
    </w:pPr>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711</Words>
  <Characters>4055</Characters>
  <Lines>33</Lines>
  <Paragraphs>9</Paragraphs>
  <TotalTime>0</TotalTime>
  <ScaleCrop>false</ScaleCrop>
  <LinksUpToDate>false</LinksUpToDate>
  <CharactersWithSpaces>4757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2019-01-31T15:44:00Z</dcterms:created>
  <dc:creator>朱春礼</dc:creator>
  <cp:lastModifiedBy>asus</cp:lastModifiedBy>
  <cp:lastPrinted>2022-01-18T17:13:00Z</cp:lastPrinted>
  <dcterms:modified xsi:type="dcterms:W3CDTF">2024-04-02T08:46:08Z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