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  <w:r>
        <w:rPr>
          <w:rFonts w:hint="eastAsia" w:eastAsia="黑体"/>
          <w:w w:val="95"/>
          <w:sz w:val="44"/>
          <w:szCs w:val="44"/>
          <w:lang w:val="en-US" w:eastAsia="zh-CN"/>
        </w:rPr>
        <w:t xml:space="preserve">  </w:t>
      </w: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ab/>
      </w:r>
      <w:r>
        <w:rPr>
          <w:rFonts w:hint="eastAsia" w:eastAsia="黑体"/>
          <w:w w:val="95"/>
          <w:sz w:val="44"/>
          <w:szCs w:val="44"/>
        </w:rPr>
        <w:tab/>
      </w: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天津市河北区网络安全应急指挥中心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(天津市河北区互联网违法和不良信息举报中心)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sz w:val="48"/>
          <w:szCs w:val="48"/>
        </w:rPr>
        <w:t>年部门预算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楷体_GB2312" w:eastAsia="楷体_GB2312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</w:t>
      </w:r>
      <w:r>
        <w:rPr>
          <w:rFonts w:hint="eastAsia" w:ascii="仿宋_GB2312" w:hAnsi="Times New Roman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sz w:val="30"/>
          <w:szCs w:val="30"/>
        </w:rPr>
        <w:t>年部门预算情况说明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</w:t>
      </w:r>
      <w:r>
        <w:rPr>
          <w:rFonts w:hint="eastAsia" w:ascii="仿宋_GB2312" w:hAnsi="Times New Roman" w:eastAsia="仿宋_GB2312"/>
          <w:b/>
          <w:sz w:val="30"/>
          <w:szCs w:val="30"/>
          <w:lang w:eastAsia="zh-CN"/>
        </w:rPr>
        <w:t>24</w:t>
      </w:r>
      <w:r>
        <w:rPr>
          <w:rFonts w:hint="eastAsia" w:ascii="仿宋_GB2312" w:hAnsi="Times New Roman" w:eastAsia="仿宋_GB2312"/>
          <w:b/>
          <w:sz w:val="30"/>
          <w:szCs w:val="30"/>
        </w:rPr>
        <w:t>年部门预算表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一、部门收支总体情况表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二、部门收入总体情况表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三、部门支出总体情况表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 w:val="0"/>
          <w:sz w:val="44"/>
          <w:szCs w:val="44"/>
        </w:rPr>
      </w:pPr>
      <w:bookmarkStart w:id="0" w:name="_Toc78784554"/>
      <w:r>
        <w:rPr>
          <w:rFonts w:hint="eastAsia" w:ascii="黑体" w:hAnsi="黑体" w:eastAsia="黑体" w:cs="黑体"/>
          <w:b w:val="0"/>
          <w:sz w:val="44"/>
          <w:szCs w:val="44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bookmarkStart w:id="2" w:name="_Toc78784556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承担区域内网络安全重大事件、突发事件和互联网信息的内容管理应急值班值守；负责网络舆情监测相关平台的使用和管理；负责区域内网络生态治理；承担区域内互联网重大宣传活动的组织协调；为区域内网络安全和信息化建设工作提供相关技术支持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天津市河北区网络安全应急指挥中心(天津市河北区互联网违法和不良信息举报中心)内设0个职能处室；下辖1个预算单位。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纳入天津市河北区网络安全应急指挥中心(天津市河北区互联网违法和不良信息举报中心)2024年部门预算编制范围的预算单位包括：</w:t>
      </w:r>
    </w:p>
    <w:p>
      <w:pPr>
        <w:spacing w:line="600" w:lineRule="exact"/>
        <w:ind w:firstLine="600"/>
        <w:jc w:val="both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sectPr>
          <w:footerReference r:id="rId8" w:type="default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1.天津市河北区网络安全应急指挥中心(天津市河北区互联网违法和不良信息举报中心)</w:t>
      </w:r>
    </w:p>
    <w:p>
      <w:pPr>
        <w:pStyle w:val="2"/>
        <w:spacing w:line="600" w:lineRule="exact"/>
        <w:jc w:val="center"/>
        <w:rPr>
          <w:rFonts w:hint="eastAsia" w:ascii="黑体" w:eastAsia="黑体"/>
          <w:sz w:val="30"/>
          <w:szCs w:val="30"/>
        </w:rPr>
      </w:pPr>
      <w:bookmarkStart w:id="3" w:name="_Toc78784570"/>
      <w:r>
        <w:rPr>
          <w:rFonts w:hint="eastAsia" w:ascii="黑体" w:hAnsi="黑体" w:eastAsia="黑体" w:cs="黑体"/>
          <w:b/>
          <w:bCs/>
          <w:sz w:val="44"/>
          <w:szCs w:val="44"/>
        </w:rPr>
        <w:t>第二部分  20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年部门预算情况说明</w:t>
      </w:r>
      <w:bookmarkEnd w:id="3"/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按照综合预算的原则，天津市河北区网络安全应急指挥中心(天津市河北区互联网违法和不良信息举报中心)所有收入和支出均纳入部门预算管理。收入包括：一般公共预算拨款收入2,028,502.00元、政府性基金预算拨款收入0.00元、国有资本经营预算拨款收入0.00元、财政专户管理资金收入0.00元、事业收入0.00元、事业单位经营收入0.00元、上级补助收入0.00元、附属单位上缴收入0.00元、其他收入0.00元、上年结转结余0.00元；支出包括：一般公共服务支出1,677,657.00元、社会保障和就业支出213,639.00元、卫生健康支出137,206.00元。天津市河北区网络安全应急指挥中心(天津市河北区互联网违法和不良信息举报中心)2024年收支总预算2,028,502.00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网络安全应急指挥中心(天津市河北区互联网违法和不良信息举报中心)2024年部门预算收入2,028,502.00元，与2023年预算相比增加135,126.00元，主要原因是人员变动。其中：上年结转结余0.00元，占0.00%；一般公共预算2,028,502.00元，占100.00%；政府性基金预算0.00元，占0.00%；国有资本经营预算0.00元，占0.00%；财政专户管理资金0.00元，占0.00%；事业收入0.00元，占0.00%；事业单位经营收入0.00元，占0.00%；上级补助收入0.00元，占0.00%；附属单位上缴收入0.00元，占0.00%；其他收入0.00元，占0.00%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7" w:name="_Toc78784574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网络安全应急指挥中心(天津市河北区互联网违法和不良信息举报中心)2024年支出预算2,028,502.00元，与2023年预算相比增加135,126.00元，主要原因是人员变动。其中：基本支出2,028,502.00元，占100.00%；项目支出0.00元，占0.00%；事业单位经营支出0.00元，占0.00%；上缴上级支出0.00元，占0.00%；对附属单位补助支出0.00元，占0.00%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8" w:name="_Toc78784575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网络安全应急指挥中心(天津市河北区互联网违法和不良信息举报中心)2024年财政拨款收入预算2,028,502.00元，与2023年预算相比增加135,126.00元，主要原因是人员变动。收入包括：一般公共预算拨款收入2,028,502.00元、政府性基金预算拨款收入0.00元、国有资本经营预算拨款收入0.00元、上年财政结转结余0.00元。2024年财政拨款支出预算2,028,502.00元，与2023年预算相比增加135,126.00元，主要原因是人员变动。支出包括：一般公共服务支出1,677,657.00元、社会保障和就业支出213,639.00元、卫生健康支出137,206.00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天津市河北区网络安全应急指挥中心(天津市河北区互联网违法和不良信息举报中心)2024年一般公共预算支出2,028,502.00元，与2023年预算相比增加135,126.00元，主要原因是人员变动。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仿宋_GB2312"/>
          <w:b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1.“一般公共服务支出（类）”1,677,657.00元，与2023年预算相比增加61,966.00元，主要原因是人员变动。其中：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“统计信息事务（款）”1,677,657.00元，包括：“信息事务（项）”1,677,657.00元，主要用于人员经费和公用经费支出。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2.“社会保障和就业支出（类）”213,639.00元，与2023年预算相比增加20,467.00元，主要原因是人员变动。其中：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行政事业单位养老支出（款）”213,639.00元，包括：“机关事业单位基本养老保险缴费支出（项）”142,823.00元，主要用于机关事业单位基本养老保险缴费支出。“机关事业单位职业年金缴费支出（项）”70,816.00元，主要用于机关事业单位职业年金缴费支出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3.“卫生健康支出（类）”137,206.00元，与2023年预算相比增加52,693.00元，主要原因是人员变动。其中：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“行政事业单位医疗（款）”137,206.00元，包括：“事业单位医疗（项）”92,946.00元，主要用于事业单位医疗支出。“其他行政事业单位医疗支出（项）”44,260.00元，主要用于其他行政事业单位医疗支出。</w:t>
      </w:r>
    </w:p>
    <w:p>
      <w:pPr>
        <w:numPr>
          <w:ilvl w:val="0"/>
          <w:numId w:val="0"/>
        </w:numPr>
        <w:spacing w:line="600" w:lineRule="exact"/>
        <w:rPr>
          <w:rFonts w:hint="eastAsia" w:ascii="楷体" w:hAnsi="楷体" w:eastAsia="楷体" w:cs="仿宋_GB2312"/>
          <w:b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9" w:name="_Toc78784576"/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bookmarkStart w:id="10" w:name="_Toc78784577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天津市河北区网络安全应急指挥中心(天津市河北区互联网违法和不良信息举报中心)一般公共预算基本支出2,028,502.00元，与2023年预算相比增加135,126.00元，主要原因是人员变动。其中：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人员经费1,919,003.00元，主要包括：基本工资、津贴补贴、绩效工资、机关事业单位基本养老保险缴费、职业年金缴费、职工基本医疗保险缴费、其他社会保障缴费、住房公积金、医疗费。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公用经费109,499.00元，主要包括：办公费、水费、电费、邮电费、差旅费、维修(护)费、培训费、工会经费、福利费。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2024年一般公共预算“三公”经费安排0.00元，与2023年预算相比增加（减少）0.00元，主要原因是本部门一般公共预算未安排“三公”经费。具体情况：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一、2024年因公出国（境）费预算0.00元，与2023年预算相比增加（减少）0.00元，主要原因是本部门一般公共预算未安排“因公出国（境）”费。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二、2024年公务用车购置及运行费预算0.00元，其中公务用车运行费0.00元，与2023年预算相比增加（减少）0.00元，主要原因是本部门一般公共预算未安排“公务用车运行”费；公务用车购置费0.00元，与2023年预算相比增加（减少）0.00元，主要原因是本部门一般公共预算未安排“公务用车购置”费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　　三、2024年公务接待费预算0.00元，与2023年预算相比增加（减少）0.00元，主要原因是本部门一般公共预算未安排“公务接待”费。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2" w:firstLineChars="200"/>
        <w:textAlignment w:val="baseline"/>
        <w:rPr>
          <w:rFonts w:hint="default" w:eastAsia="仿宋_GB2312"/>
          <w:sz w:val="30"/>
          <w:szCs w:val="30"/>
          <w:lang w:val="en-US"/>
        </w:rPr>
      </w:pP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2024年天津市河北区网络安全应急指挥中心(天津市河北区互联网违法和不良信息举报中心)预算中没有使用政府性基金预算安排的支出。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bookmarkStart w:id="11" w:name="_Toc78784578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2" w:firstLineChars="200"/>
        <w:textAlignment w:val="baseline"/>
      </w:pP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2024年天津市河北区网络安全应急指挥中心(天津市河北区互联网违法和不良信息举报中心)预算中没有使用国有资本经营预算预算安排的支出。</w:t>
      </w: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本部门2024年未安排机关运行经费预算。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（二）政府采购情况。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本部门2024年安排政府采购预算4928.00元，其中：政府采购货物支出4928.00元、政府采购工程支出0元、政府采购服务支出0元。主要项目是：办公用品采购4928元。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（三）国有资产占用情况。</w:t>
      </w: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截至2023年7月底，本部门各单位共有车辆0辆，其中：副部（省）级及以上领导用车0辆、主要负责人干部用车0辆、机要通信用车0辆、应急保障用车0辆、执法执勤用车0辆、特种专业技术用车0辆、离退休干部服务用车0辆、其他用车0辆，其他用车主要包括无。单价（账面原值）100万元以上的设备0台（套）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（四）预算绩效情况说明。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本部门2024年实行绩效目标管理的项目0个，涉及预算金额0.00元。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13" w:name="_Toc78784585"/>
      <w:r>
        <w:rPr>
          <w:rFonts w:hint="eastAsia" w:ascii="黑体" w:hAnsi="黑体" w:eastAsia="黑体" w:cs="黑体"/>
          <w:b/>
          <w:bCs/>
          <w:sz w:val="44"/>
          <w:szCs w:val="44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（“部门预算”和“机关运行经费”作为专业性名词各单位必须公开。除此之外，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hint="eastAsia" w:eastAsia="楷体_GB2312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hint="eastAsia" w:eastAsia="楷体_GB2312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第四部分  20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年部门预算表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一、《部门收支总体情况表》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二、《部门收入总体情况表》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三、《部门支出总体情况表》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十一、关于空表的说明</w:t>
      </w:r>
      <w:r>
        <w:rPr>
          <w:rFonts w:hint="eastAsia" w:ascii="楷体_GB2312" w:hAnsi="Times New Roman" w:eastAsia="楷体_GB2312"/>
          <w:b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1.“本单位（部门）2024年一般公共预算“三公”经费支出情况表为空表”。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2.“本单位（部门）2024年政府性基金预算支出情况表为空表”。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　　3.“本单位（部门）2024年国有资本经营预算支出情况表为空表”。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4.“本单位（部门）2024年项目支出表为空表”。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14" w:name="_GoBack"/>
      <w:bookmarkEnd w:id="14"/>
    </w:p>
    <w:p>
      <w:pPr>
        <w:spacing w:line="560" w:lineRule="exact"/>
        <w:rPr>
          <w:rFonts w:hint="eastAsia" w:eastAsia="楷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"/>
          <w:sz w:val="30"/>
          <w:szCs w:val="30"/>
        </w:rPr>
        <w:t>注：以上预算公开表均作为附表，附于预算公开说明文档后。</w:t>
      </w:r>
    </w:p>
    <w:sectPr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YjE1OTI0ZjFiOGFhMWM4MWNjMzdkNjI3N2RmY2MifQ=="/>
  </w:docVars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154E2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61878DF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8064FA4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5616A75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4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autoRedefine/>
    <w:qFormat/>
    <w:uiPriority w:val="0"/>
  </w:style>
  <w:style w:type="character" w:customStyle="1" w:styleId="12">
    <w:name w:val="标题 1 Char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标题 2 Char"/>
    <w:link w:val="3"/>
    <w:autoRedefine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4">
    <w:name w:val="批注框文本 Char"/>
    <w:link w:val="5"/>
    <w:autoRedefine/>
    <w:qFormat/>
    <w:uiPriority w:val="0"/>
    <w:rPr>
      <w:sz w:val="18"/>
      <w:szCs w:val="18"/>
    </w:rPr>
  </w:style>
  <w:style w:type="character" w:customStyle="1" w:styleId="15">
    <w:name w:val="页脚 Char"/>
    <w:link w:val="6"/>
    <w:autoRedefine/>
    <w:qFormat/>
    <w:uiPriority w:val="99"/>
    <w:rPr>
      <w:sz w:val="18"/>
      <w:szCs w:val="18"/>
    </w:rPr>
  </w:style>
  <w:style w:type="paragraph" w:customStyle="1" w:styleId="16">
    <w:name w:val="Char Char"/>
    <w:basedOn w:val="4"/>
    <w:autoRedefine/>
    <w:qFormat/>
    <w:uiPriority w:val="0"/>
    <w:pPr>
      <w:adjustRightInd/>
      <w:spacing w:line="240" w:lineRule="auto"/>
      <w:jc w:val="both"/>
      <w:textAlignment w:val="auto"/>
    </w:pPr>
  </w:style>
  <w:style w:type="paragraph" w:styleId="17">
    <w:name w:val="List Paragraph"/>
    <w:basedOn w:val="1"/>
    <w:autoRedefine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711</Words>
  <Characters>4055</Characters>
  <Lines>33</Lines>
  <Paragraphs>9</Paragraphs>
  <TotalTime>0</TotalTime>
  <ScaleCrop>false</ScaleCrop>
  <LinksUpToDate>false</LinksUpToDate>
  <CharactersWithSpaces>4757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2019-01-31T15:44:00Z</dcterms:created>
  <dc:creator>朱春礼</dc:creator>
  <cp:lastModifiedBy>asus</cp:lastModifiedBy>
  <cp:lastPrinted>2022-01-18T17:13:00Z</cp:lastPrinted>
  <dcterms:modified xsi:type="dcterms:W3CDTF">2024-04-02T08:44:14Z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2052-12.1.0.16388</vt:lpwstr>
  </property>
</Properties>
</file>