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 xml:space="preserve">  </w:t>
      </w: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ab/>
      </w:r>
      <w:r>
        <w:rPr>
          <w:rFonts w:hint="eastAsia" w:eastAsia="黑体"/>
          <w:w w:val="95"/>
          <w:sz w:val="44"/>
          <w:szCs w:val="44"/>
        </w:rPr>
        <w:tab/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中国共产党天津市河北区委员会(本级)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sz w:val="48"/>
          <w:szCs w:val="48"/>
        </w:rPr>
        <w:t>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24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 w:val="0"/>
          <w:sz w:val="44"/>
          <w:szCs w:val="44"/>
        </w:rPr>
      </w:pPr>
      <w:bookmarkStart w:id="0" w:name="_Toc78784554"/>
      <w:r>
        <w:rPr>
          <w:rFonts w:hint="eastAsia" w:ascii="黑体" w:hAnsi="黑体" w:eastAsia="黑体" w:cs="黑体"/>
          <w:b w:val="0"/>
          <w:sz w:val="44"/>
          <w:szCs w:val="44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bookmarkStart w:id="2" w:name="_Toc78784556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发挥总揽全局、协调各方的领导核心作用，对本区经济建设、政治建设、文化建设、社会建设、生态文明建设实行全面领导，对本区党的建设全面负责。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中国共产党天津市河北区委员会(本级)内设0个职能处室；下辖1个预算单位。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纳入中国共产党天津市河北区委员会(本级)2024年部门预算编制范围的预算单位包括：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sectPr>
          <w:footerReference r:id="rId8" w:type="default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1.中国共产党天津市河北区委员会(本级)</w:t>
      </w:r>
    </w:p>
    <w:p>
      <w:pPr>
        <w:pStyle w:val="2"/>
        <w:spacing w:line="600" w:lineRule="exact"/>
        <w:jc w:val="center"/>
        <w:rPr>
          <w:rFonts w:hint="eastAsia" w:ascii="黑体" w:eastAsia="黑体"/>
          <w:sz w:val="30"/>
          <w:szCs w:val="30"/>
        </w:rPr>
      </w:pPr>
      <w:bookmarkStart w:id="3" w:name="_Toc78784570"/>
      <w:r>
        <w:rPr>
          <w:rFonts w:hint="eastAsia" w:ascii="黑体" w:hAnsi="黑体" w:eastAsia="黑体" w:cs="黑体"/>
          <w:b/>
          <w:bCs/>
          <w:sz w:val="44"/>
          <w:szCs w:val="44"/>
        </w:rPr>
        <w:t>第二部分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年部门预算情况说明</w:t>
      </w:r>
      <w:bookmarkEnd w:id="3"/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按照综合预算的原则，中国共产党天津市河北区委员会(本级)所有收入和支出均纳入部门预算管理。收入包括：一般公共预算拨款收入72,980,192.00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3,718,654.00元；支出包括：一般公共服务支出66,437,380.00元、社会保障和就业支出6,900,149.00元、卫生健康支出3,361,317.00元。中国共产党天津市河北区委员会(本级)2024年收支总预算76,698,846.00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2024年部门预算收入76,698,846.00元，与2023年预算相比减少3,694,865.00元，主要原因是坚持真过紧日子原则，进一步节约经费。其中：上年结转结余3,718,654.00元，占4.85%；一般公共预算72,980,192.00元，占95.15%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7" w:name="_Toc78784574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2024年支出预算76,698,846.00元，与2023年预算相比减少3,694,865.00元，主要原因是坚持真过紧日子原则，进一步节约经费。其中：基本支出58,921,440.00元，占76.82%；项目支出17,777,406.00元，占23.18%；事业单位经营支出0.00元，占0.00%；上缴上级支出0.00元，占0.00%；对附属单位补助支出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8" w:name="_Toc78784575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2024年财政拨款收入预算76,698,846.00元，与2023年预算相比减少3,694,865.00元，主要原因是坚持真过紧日子原则，进一步节约经费。收入包括：一般公共预算拨款收入72,980,192.00元、政府性基金预算拨款收入0.00元、国有资本经营预算拨款收入0.00元、上年财政结转结余3,718,654.00元。2024年财政拨款支出预算76,698,846.00元，与2023年预算相比减少3,694,865.00元，主要原因是坚持真过紧日子原则，进一步节约经费。支出包括：一般公共服务支出66,437,380.00元、社会保障和就业支出6,900,149.00元、卫生健康支出3,361,317.00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中国共产党天津市河北区委员会(本级)2024年一般公共预算支出76,698,846.00元，与2023年预算相比减少3,694,865.00元，主要原因是坚持真过紧日子原则，进一步节约经费。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1.“一般公共服务支出（类）”66,437,380.00元，与2023年预算相比减少3,956,485.00元，主要原因是坚持真过紧日子原则，进一步节约经费。其中：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“群众团体事务（款）”788,000.00元，包括：“其他群众团体事务支出（项）”788,000.00元，主要用于青少年事务社工工资、工作经费以及团区委其他项目经费。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党委办公厅（室）及相关机构事务（款）”53,270,330.00元，包括：“行政运行（项）”48,147,474.00元，主要用于用于职工工资、日常公用经费等费用。“一般行政管理事务（项）”4,631,736.00元，主要用于部分项目尾款和重点保障项目支出。“专项业务（项）”491,120.00元，主要用于政法业务项目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“组织事务（款）”4,363,270.00元，包括：“其他组织事务支出（项）”4,363,270.00元，主要用于组织业务项目支出。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“宣传事务（款）”2,345,200.00元，包括：“其他宣传事务支出（项）”2,345,200.00元，主要用于宣传业务项目支出。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“统战事务（款）”584,800.00元，包括：“其他统战事务支出（项）”584,800.00元，主要用于统战业务项目支出。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“其他共产党事务支出（款）”51,400.00元，包括：“其他共产党事务支出（项）”51,400.00元，主要用于编办网络费用及其他支出。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“网信事务（款）”5,034,380.00元，包括：“其他网信事务支出（项）”5,034,380.00元，主要用于网信办工作经费及网信办相关项目经费。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2.“社会保障和就业支出（类）”6,900,149.00元，与2023年预算相比增加172,122.00元，主要原因是人员变动及基数调整。其中：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养老支出（款）”6,900,149.00元，包括：“行政单位离退休（项）”446,421.00元，主要用于离退休人员补贴。“机关事业单位基本养老保险缴费支出（项）”4,302,485.00元，主要用于基本养老保险缴费支出。“机关事业单位职业年金缴费支出（项）”2,151,243.00元，主要用于职业年金缴费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3.“卫生健康支出（类）”3,361,317.00元，与2023年预算相比增加89,498.00元，主要原因是人员变动及基数调整。其中：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“行政事业单位医疗（款）”3,361,317.00元，包括：“行政单位医疗（项）”2,823,506.00元，主要用于行政单位职工医疗保险缴费。“公务员医疗补助（项）”537,811.00元，主要用于公务员医疗补助缴费。</w:t>
      </w:r>
    </w:p>
    <w:p>
      <w:pPr>
        <w:numPr>
          <w:ilvl w:val="0"/>
          <w:numId w:val="0"/>
        </w:numPr>
        <w:spacing w:line="600" w:lineRule="exact"/>
        <w:rPr>
          <w:rFonts w:hint="eastAsia" w:ascii="楷体" w:hAnsi="楷体" w:eastAsia="楷体" w:cs="仿宋_GB2312"/>
          <w:b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10" w:name="_Toc78784577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中国共产党天津市河北区委员会(本级)一般公共预算基本支出58,921,440.00元，与2023年预算相比减少1,366,571.00元，主要原因是坚持真过紧日子原则，进一步节约经费。其中：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人员经费53,404,085.00元，主要包括：基本工资、津贴补贴、奖金、机关事业单位基本养老保险缴费、职业年金缴费、职工基本医疗保险缴费、公务员医疗补助缴费、其他社会保障缴费、住房公积金、其他工资福利支出、退休费、奖励金、其他对个人和家庭的补助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公用经费5,517,355.00元，主要包括：办公费、水费、电费、邮电费、取暖费、物业管理费、差旅费、维修(护)费、培训费、工会经费、福利费、其他交通费用、其他商品和服务支出。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2024年一般公共预算“三公”经费安排0.00元，与2023年预算相比增加（减少）0.00元，主要原因是本部门一般公共预算未安排“三公”经费。具体情况：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一、2024年因公出国（境）费预算0.00元，与2023年预算相比增加（减少）0.00元，主要原因是本部门一般公共预算未安排“因公出国（境）”费。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二、2024年公务用车购置及运行费预算0.00元，其中公务用车运行费0.00元，与2023年预算相比增加（减少）0.00元，主要原因是本部门一般公共预算未安排“公务用车运行”费；公务用车购置费0.00元，与2023年预算相比增加（减少）0.00元，主要原因是本部门一般公共预算未安排“公务用车购置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三、2024年公务接待费预算0.00元，与2023年预算相比增加（减少）0.00元，主要原因是本部门一般公共预算未安排“公务接待”费。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2024年中国共产党天津市河北区委员会(本级)预算中没有使用政府性基金预算安排的支出。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bookmarkStart w:id="11" w:name="_Toc78784578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2024年中国共产党天津市河北区委员会(本级)预算中没有使用国有资本经营预算预算安排的支出。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共产党天津市河北区委员会2024年中国共产党天津市河北区委员会(本级)等1家行政单位的机关运行经费预算5,517,355元，包括：“办公费”1,019,200.00元、“水费”124,800元、“电费”486,720元、“邮电费”208,000元、“取暖费”43,469元、“物业管理费”109,283元、“差旅费”83,200元、“维修(护)费”83,200元、“培训费”74,880元、“工会经费”400,135元、“福利费”642,668元、“其他交通费用”1,891,800元、“其他商品和服务支出”350,000元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（二）政府采购情况。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本部门2024年安排政府采购预算355,928元，其中政府采购货物支出355,928元，政府采购工程支出0元，政府采购服务支出0元。主要项目是：购置办公电脑及A4纸355928元。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（三）国有资产占用情况。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截至2023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（四）预算绩效情况说明。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本部门2024年实行绩效目标管理的项目61个，涉及预算金额17,777,406.00元。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13" w:name="_Toc78784585"/>
      <w:r>
        <w:rPr>
          <w:rFonts w:hint="eastAsia" w:ascii="黑体" w:hAnsi="黑体" w:eastAsia="黑体" w:cs="黑体"/>
          <w:b/>
          <w:bCs/>
          <w:sz w:val="44"/>
          <w:szCs w:val="44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hint="eastAsia" w:eastAsia="楷体_GB2312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hint="eastAsia"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第四部分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1.“本单位（部门）2024年一般公共预算“三公”经费支出情况表为空表”。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2.“本单位（部门）2024年政府性基金预算支出情况表为空表”。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3.“本单位（部门）2024年国有资本经营预算支出情况表为空表”。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4" w:name="_GoBack"/>
      <w:bookmarkEnd w:id="14"/>
    </w:p>
    <w:p>
      <w:pPr>
        <w:spacing w:line="560" w:lineRule="exact"/>
        <w:rPr>
          <w:rFonts w:hint="eastAsia"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注：以上预算公开表均作为附表，附于预算公开说明文档后。</w:t>
      </w:r>
    </w:p>
    <w:sectPr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jE1OTI0ZjFiOGFhMWM4MWNjMzdkNjI3N2RmY2M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6D202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autoRedefine/>
    <w:qFormat/>
    <w:uiPriority w:val="0"/>
  </w:style>
  <w:style w:type="character" w:customStyle="1" w:styleId="12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autoRedefine/>
    <w:qFormat/>
    <w:uiPriority w:val="0"/>
    <w:rPr>
      <w:sz w:val="18"/>
      <w:szCs w:val="18"/>
    </w:rPr>
  </w:style>
  <w:style w:type="character" w:customStyle="1" w:styleId="15">
    <w:name w:val="页脚 Char"/>
    <w:link w:val="6"/>
    <w:autoRedefine/>
    <w:qFormat/>
    <w:uiPriority w:val="99"/>
    <w:rPr>
      <w:sz w:val="18"/>
      <w:szCs w:val="18"/>
    </w:rPr>
  </w:style>
  <w:style w:type="paragraph" w:customStyle="1" w:styleId="16">
    <w:name w:val="Char Char"/>
    <w:basedOn w:val="4"/>
    <w:autoRedefine/>
    <w:qFormat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711</Words>
  <Characters>4055</Characters>
  <Lines>33</Lines>
  <Paragraphs>9</Paragraphs>
  <TotalTime>0</TotalTime>
  <ScaleCrop>false</ScaleCrop>
  <LinksUpToDate>false</LinksUpToDate>
  <CharactersWithSpaces>4757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asus</cp:lastModifiedBy>
  <cp:lastPrinted>2022-01-18T17:13:00Z</cp:lastPrinted>
  <dcterms:modified xsi:type="dcterms:W3CDTF">2024-04-02T08:41:14Z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