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  <w:r>
        <w:rPr>
          <w:rFonts w:hint="eastAsia" w:eastAsia="黑体"/>
          <w:w w:val="95"/>
          <w:sz w:val="44"/>
          <w:szCs w:val="44"/>
          <w:lang w:val="en-US" w:eastAsia="zh-CN"/>
        </w:rPr>
        <w:t xml:space="preserve">  </w:t>
      </w: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ab/>
      </w:r>
      <w:r>
        <w:rPr>
          <w:rFonts w:hint="eastAsia" w:eastAsia="黑体"/>
          <w:w w:val="95"/>
          <w:sz w:val="44"/>
          <w:szCs w:val="44"/>
        </w:rPr>
        <w:tab/>
      </w: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天津市河北区总工会(本级)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 w:cs="黑体"/>
          <w:sz w:val="48"/>
          <w:szCs w:val="48"/>
        </w:rPr>
        <w:t>年部门预算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hint="eastAsia" w:ascii="楷体_GB2312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第二部分  202</w:t>
      </w:r>
      <w:r>
        <w:rPr>
          <w:rFonts w:hint="eastAsia" w:ascii="仿宋_GB2312" w:hAnsi="Times New Roman" w:eastAsia="仿宋_GB2312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sz w:val="30"/>
          <w:szCs w:val="30"/>
        </w:rPr>
        <w:t>年部门预算情况说明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五、关于一般公共预算支出情况的说明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六、关于一般公共预算基本支出情况表的说明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七、关于一般公共预算“三公”经费支出情况表的说明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八、关于政府性基金预算支出情况表的说明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</w:t>
      </w:r>
      <w:r>
        <w:rPr>
          <w:rFonts w:hint="eastAsia" w:ascii="仿宋_GB2312" w:hAnsi="Times New Roman" w:eastAsia="仿宋_GB2312"/>
          <w:b/>
          <w:sz w:val="30"/>
          <w:szCs w:val="30"/>
          <w:lang w:eastAsia="zh-CN"/>
        </w:rPr>
        <w:t>24</w:t>
      </w:r>
      <w:r>
        <w:rPr>
          <w:rFonts w:hint="eastAsia" w:ascii="仿宋_GB2312" w:hAnsi="Times New Roman" w:eastAsia="仿宋_GB2312"/>
          <w:b/>
          <w:sz w:val="30"/>
          <w:szCs w:val="30"/>
        </w:rPr>
        <w:t>年部门预算表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一、部门收支总体情况表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二、部门收入总体情况表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三、部门支出总体情况表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四、财政拨款收支总体情况表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五、一般公共预算支出情况表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六、一般公共预算基本支出情况表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七、一般公共预算“三公”经费支出情况表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八、政府性基金预算支出情况表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九、国有资本经营预算支出情况表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十、项目支出表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十一、关于空表的说明</w:t>
      </w:r>
      <w:r>
        <w:rPr>
          <w:rFonts w:hint="eastAsia" w:ascii="仿宋_GB2312" w:hAnsi="Times New Roman" w:eastAsia="仿宋_GB2312"/>
          <w:sz w:val="30"/>
          <w:szCs w:val="30"/>
        </w:rPr>
        <w:tab/>
      </w:r>
    </w:p>
    <w:p>
      <w:pPr>
        <w:spacing w:line="600" w:lineRule="exact"/>
        <w:rPr>
          <w:rFonts w:ascii="仿宋_GB2312" w:hAnsi="Times New Roman" w:eastAsia="仿宋_GB2312"/>
          <w:b/>
          <w:sz w:val="30"/>
          <w:szCs w:val="30"/>
        </w:rPr>
      </w:pPr>
      <w:r>
        <w:rPr>
          <w:rFonts w:ascii="仿宋_GB2312" w:hAnsi="Times New Roman" w:eastAsia="仿宋_GB2312"/>
          <w:b/>
          <w:sz w:val="30"/>
          <w:szCs w:val="30"/>
        </w:rPr>
        <w:fldChar w:fldCharType="begin"/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hint="eastAsia" w:ascii="仿宋_GB2312" w:hAnsi="Times New Roman" w:eastAsia="仿宋_GB2312"/>
          <w:b/>
          <w:sz w:val="30"/>
          <w:szCs w:val="30"/>
        </w:rPr>
        <w:instrText xml:space="preserve">TOC \o "1-3" \h \z \u</w:instrText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ascii="仿宋_GB2312" w:hAnsi="Times New Roman" w:eastAsia="仿宋_GB2312"/>
          <w:b/>
          <w:sz w:val="30"/>
          <w:szCs w:val="30"/>
        </w:rPr>
        <w:fldChar w:fldCharType="separate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fldChar w:fldCharType="end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b w:val="0"/>
          <w:sz w:val="44"/>
          <w:szCs w:val="44"/>
        </w:rPr>
      </w:pPr>
      <w:bookmarkStart w:id="0" w:name="_Toc78784554"/>
      <w:r>
        <w:rPr>
          <w:rFonts w:hint="eastAsia" w:ascii="黑体" w:hAnsi="黑体" w:eastAsia="黑体" w:cs="黑体"/>
          <w:b w:val="0"/>
          <w:sz w:val="44"/>
          <w:szCs w:val="44"/>
        </w:rPr>
        <w:t>第一部分  概 况</w:t>
      </w:r>
      <w:bookmarkEnd w:id="0"/>
    </w:p>
    <w:p>
      <w:pPr>
        <w:spacing w:line="600" w:lineRule="exact"/>
        <w:rPr>
          <w:rFonts w:hint="eastAsia"/>
        </w:rPr>
      </w:pP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bookmarkStart w:id="1" w:name="_Toc78784555"/>
      <w:r>
        <w:rPr>
          <w:rFonts w:hint="eastAsia" w:ascii="黑体" w:hAnsi="黑体" w:eastAsia="黑体"/>
          <w:sz w:val="30"/>
          <w:szCs w:val="30"/>
        </w:rPr>
        <w:t>一、主要职责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00" w:firstLineChars="200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bookmarkStart w:id="2" w:name="_Toc78784556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根据党的路线、方针、政策、党的中心任务和党的工运方针，确定工会工作的方针和任务，指导全区工会工作，负责工运理论政策的研究。</w:t>
      </w: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二、机构设置</w:t>
      </w:r>
      <w:bookmarkEnd w:id="2"/>
      <w:r>
        <w:rPr>
          <w:rFonts w:hint="eastAsia" w:ascii="黑体" w:hAnsi="黑体" w:eastAsia="黑体"/>
          <w:sz w:val="30"/>
          <w:szCs w:val="30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天津市河北区总工会(本级)内设6个职能处室；下辖1个预算单位。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纳入天津市河北区总工会(本级)2024年部门预算编制范围的预算单位包括：</w:t>
      </w:r>
    </w:p>
    <w:p>
      <w:pPr>
        <w:spacing w:line="600" w:lineRule="exact"/>
        <w:ind w:firstLine="600"/>
        <w:jc w:val="both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sectPr>
          <w:footerReference r:id="rId8" w:type="default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1.天津市河北区总工会(本级)</w:t>
      </w:r>
    </w:p>
    <w:p>
      <w:pPr>
        <w:pStyle w:val="2"/>
        <w:spacing w:line="600" w:lineRule="exact"/>
        <w:jc w:val="center"/>
        <w:rPr>
          <w:rFonts w:hint="eastAsia" w:ascii="黑体" w:eastAsia="黑体"/>
          <w:sz w:val="30"/>
          <w:szCs w:val="30"/>
        </w:rPr>
      </w:pPr>
      <w:bookmarkStart w:id="3" w:name="_Toc78784570"/>
      <w:r>
        <w:rPr>
          <w:rFonts w:hint="eastAsia" w:ascii="黑体" w:hAnsi="黑体" w:eastAsia="黑体" w:cs="黑体"/>
          <w:b/>
          <w:bCs/>
          <w:sz w:val="44"/>
          <w:szCs w:val="44"/>
        </w:rPr>
        <w:t>第二部分  20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年部门预算情况说明</w:t>
      </w:r>
      <w:bookmarkEnd w:id="3"/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4" w:name="_Toc78784571"/>
      <w:r>
        <w:rPr>
          <w:rFonts w:hint="eastAsia" w:ascii="黑体" w:hAnsi="黑体" w:eastAsia="黑体"/>
          <w:b w:val="0"/>
          <w:sz w:val="30"/>
          <w:szCs w:val="30"/>
        </w:rPr>
        <w:t>一、关于收支总体情况</w:t>
      </w:r>
      <w:bookmarkEnd w:id="4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按照综合预算的原则，天津市河北区总工会(本级)所有收入和支出均纳入部门预算管理。收入包括：一般公共预算拨款收入5,706,636.00元、政府性基金预算拨款收入0.00元、国有资本经营预算拨款收入0.00元、财政专户管理资金收入0.00元、事业收入0.00元、事业单位经营收入0.00元、上级补助收入0.00元、附属单位上缴收入0.00元、其他收入0.00元、上年结转结余0.00元；支出包括：一般公共服务支出4,798,376.00元、社会保障和就业支出622,963.00元、卫生健康支出285,297.00元。天津市河北区总工会(本级)2024年收支总预算5,706,636.00元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5" w:name="_Toc78784572"/>
      <w:r>
        <w:rPr>
          <w:rFonts w:hint="eastAsia" w:ascii="黑体" w:hAnsi="黑体" w:eastAsia="黑体" w:cs="仿宋_GB2312"/>
          <w:b w:val="0"/>
          <w:sz w:val="30"/>
          <w:szCs w:val="30"/>
        </w:rPr>
        <w:t>二、关于收入总体情况</w:t>
      </w:r>
      <w:bookmarkEnd w:id="5"/>
      <w:r>
        <w:rPr>
          <w:rFonts w:hint="eastAsia" w:ascii="黑体" w:hAnsi="黑体" w:eastAsia="黑体" w:cs="仿宋_GB2312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总工会(本级)2024年部门预算收入5,706,636.00元，与2023年预算相比增加363,775.00元，主要原因是人员变动，经费增加。其中：上年结转结余0.00元，占0.00%；一般公共预算5,706,636.00元，占100.00%；政府性基金预算0.00元，占0.00%；国有资本经营预算0.00元，占0.00%；财政专户管理资金0.00元，占0.00%；事业收入0.00元，占0.00%；事业单位经营收入0.00元，占0.00%；上级补助收入0.00元，占0.00%；附属单位上缴收入0.00元，占0.00%；其他收入0.00元，占0.00%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6" w:name="_Toc78784573"/>
      <w:r>
        <w:rPr>
          <w:rFonts w:hint="eastAsia" w:ascii="黑体" w:hAnsi="黑体" w:eastAsia="黑体" w:cs="仿宋_GB2312"/>
          <w:b w:val="0"/>
          <w:sz w:val="30"/>
          <w:szCs w:val="30"/>
        </w:rPr>
        <w:t>三、关于</w:t>
      </w:r>
      <w:r>
        <w:rPr>
          <w:rFonts w:ascii="黑体" w:hAnsi="黑体" w:eastAsia="黑体" w:cs="仿宋_GB2312"/>
          <w:b w:val="0"/>
          <w:sz w:val="30"/>
          <w:szCs w:val="30"/>
        </w:rPr>
        <w:t>支出</w:t>
      </w:r>
      <w:r>
        <w:rPr>
          <w:rFonts w:hint="eastAsia" w:ascii="黑体" w:hAnsi="黑体" w:eastAsia="黑体" w:cs="仿宋_GB2312"/>
          <w:b w:val="0"/>
          <w:sz w:val="30"/>
          <w:szCs w:val="30"/>
        </w:rPr>
        <w:t>总体情况表</w:t>
      </w:r>
      <w:bookmarkEnd w:id="6"/>
      <w:r>
        <w:rPr>
          <w:rFonts w:hint="eastAsia" w:ascii="黑体" w:hAnsi="黑体" w:eastAsia="黑体" w:cs="仿宋_GB2312"/>
          <w:b w:val="0"/>
          <w:sz w:val="30"/>
          <w:szCs w:val="30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bookmarkStart w:id="7" w:name="_Toc78784574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总工会(本级)2024年支出预算5,706,636.00元，与2023年预算相比增加363,775.00元，主要原因是人员变动，经费增加。其中：基本支出5,706,636.00元，占100.00%；项目支出0.00元，占0.00%；事业单位经营支出0.00元，占0.00%；上缴上级支出0.00元，占0.00%；对附属单位补助支出0.00元，占0.00%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四、关于财政拨款收支总体情况表</w:t>
      </w:r>
      <w:bookmarkEnd w:id="7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bookmarkStart w:id="8" w:name="_Toc78784575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总工会(本级)2024年财政拨款收入预算5,706,636.00元，与2023年预算相比增加363,775.00元，主要原因是人员变动，经费增加。收入包括：一般公共预算拨款收入5,706,636.00元、政府性基金预算拨款收入0.00元、国有资本经营预算拨款收入0.00元、上年财政结转结余0.00元。2024年财政拨款支出预算5,706,636.00元，与2023年预算相比增加363,775.00元，主要原因是人员变动，经费增加。支出包括：一般公共服务支出4,798,376.00元、社会保障和就业支出622,963.00元、卫生健康支出285,297.00元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ascii="黑体" w:hAnsi="黑体" w:eastAsia="黑体"/>
          <w:b w:val="0"/>
          <w:sz w:val="30"/>
          <w:szCs w:val="30"/>
        </w:rPr>
        <w:t>五</w:t>
      </w:r>
      <w:r>
        <w:rPr>
          <w:rFonts w:hint="eastAsia" w:ascii="黑体" w:hAnsi="黑体" w:eastAsia="黑体"/>
          <w:b w:val="0"/>
          <w:sz w:val="30"/>
          <w:szCs w:val="30"/>
        </w:rPr>
        <w:t>、关于</w:t>
      </w:r>
      <w:r>
        <w:rPr>
          <w:rFonts w:ascii="黑体" w:hAnsi="黑体" w:eastAsia="黑体"/>
          <w:b w:val="0"/>
          <w:sz w:val="30"/>
          <w:szCs w:val="30"/>
        </w:rPr>
        <w:t>一般公共预算支出</w:t>
      </w:r>
      <w:r>
        <w:rPr>
          <w:rFonts w:hint="eastAsia" w:ascii="黑体" w:hAnsi="黑体" w:eastAsia="黑体"/>
          <w:b w:val="0"/>
          <w:sz w:val="30"/>
          <w:szCs w:val="30"/>
        </w:rPr>
        <w:t>情况表</w:t>
      </w:r>
      <w:bookmarkEnd w:id="8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天津市河北区总工会(本级)2024年一般公共预算支出5,706,636.00元，与2023年预算相比增加363,775.00元，主要原因是人员变动，经费增加。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仿宋_GB2312"/>
          <w:b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仿宋_GB2312"/>
          <w:b/>
          <w:sz w:val="30"/>
          <w:szCs w:val="30"/>
        </w:rPr>
        <w:t>具体情况。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1.“一般公共服务支出（类）”4,798,376.00元，与2023年预算相比增加273,584.00元，主要原因是人员变动，经费增加，其中：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群众团体事务（款）”4,798,376.00元，包括：“行政运行（项）”4,006,376.00元，主要用于在职人员工资奖金津补贴、公积金、公用经费等；“一般行政管理事务（项）”792,000.00元，主要用于外聘人员工资、保险、公积金等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2.“社会保障和就业支出（类）”622,963.00元，与2023年预算相比增加57,281.00元，主要原因是人员调入，其中：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行政事业单位养老支出（款）”622,963.00元，包括：“行政单位离退休（项）”75,194.00元，主要用于工会退休人员三项补贴；“机关事业单位基本养老保险缴费支出（项）”365,179.00元，主要用于缴纳在职人员机关事业单位基本养老保险；“机关事业单位职业年金缴费支出（项）”182,590.00元，主要用于缴纳在职人员机关事业单位职业年金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3.“卫生健康支出（类）”285,297.00元，与2023年预算相比增加32,910.00元，主要原因是人员调入，其中：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“行政事业单位医疗（款）”285,297.00元，包括：“行政单位医疗（项）”239,649.00元，主要用于缴纳在职人员行政单位医疗；“公务员医疗补助（项）”45,648.00元，主要用于缴纳在职人员公务员医疗补助。</w:t>
      </w:r>
    </w:p>
    <w:p>
      <w:pPr>
        <w:numPr>
          <w:ilvl w:val="0"/>
          <w:numId w:val="0"/>
        </w:numPr>
        <w:spacing w:line="600" w:lineRule="exact"/>
        <w:rPr>
          <w:rFonts w:hint="eastAsia" w:ascii="楷体" w:hAnsi="楷体" w:eastAsia="楷体" w:cs="仿宋_GB2312"/>
          <w:b/>
          <w:sz w:val="30"/>
          <w:szCs w:val="30"/>
        </w:rPr>
      </w:pP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bookmarkStart w:id="9" w:name="_Toc78784576"/>
      <w:r>
        <w:rPr>
          <w:rFonts w:ascii="黑体" w:hAnsi="黑体" w:eastAsia="黑体"/>
          <w:b w:val="0"/>
          <w:sz w:val="30"/>
          <w:szCs w:val="30"/>
        </w:rPr>
        <w:t>六、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一般公共预算基本支出情况</w:t>
      </w:r>
      <w:bookmarkEnd w:id="9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bookmarkStart w:id="10" w:name="_Toc78784577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天津市河北区总工会(本级)一般公共预算基本支出5,706,636.00元，与2023年预算相比增加363,775.00元，主要原因是人员调入。其中：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人员经费5,286,086.00元，主要包括：基本工资、津贴补贴、奖金、机关事业单位基本养老保险缴费、职业年金缴费、职工基本医疗保险缴费、公务员医疗补助缴费、其他社会保障缴费、住房公积金、其他工资福利支出、退休费、奖励金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公用经费420,550.00元，主要包括：办公费、水费、电费、邮电费、取暖费、差旅费、维修(护)费、培训费、工会经费、福利费、其他交通费用。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七、关于一般公共预算“三公”经费支出情况表的说明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2024年一般公共预算“三公”经费安排0.00元，与2023年预算相比增加（减少）0.00元，主要原因是本部门一般公共预算未安排“三公”经费。具体情况：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一、2024年因公出国（境）费预算0.00元，与2023年预算相比增加（减少）0.00元，主要原因是本部门一般公共预算未安排“因公出国（境）”费。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二、2024年公务用车购置及运行费预算0.00元，其中公务用车运行费0.00元，与2023年预算相比增加（减少）0.00元，主要原因是本部门一般公共预算未安排“公务用车运行”费；公务用车购置费0.00元，与2023年预算相比增加（减少）0.00元，主要原因是本部门一般公共预算未安排“公务用车购置”费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三、2024年公务接待费预算0.00元，与2023年预算相比增加（减少）0.00元，主要原因是本部门一般公共预算未安排“公务接待”费。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八</w:t>
      </w:r>
      <w:r>
        <w:rPr>
          <w:rFonts w:ascii="黑体" w:hAnsi="黑体" w:eastAsia="黑体"/>
          <w:b w:val="0"/>
          <w:sz w:val="30"/>
          <w:szCs w:val="30"/>
        </w:rPr>
        <w:t>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政府性基金预算</w:t>
      </w:r>
      <w:r>
        <w:rPr>
          <w:rFonts w:hint="eastAsia" w:ascii="黑体" w:hAnsi="黑体" w:eastAsia="黑体"/>
          <w:b w:val="0"/>
          <w:sz w:val="30"/>
          <w:szCs w:val="30"/>
        </w:rPr>
        <w:t>支出</w:t>
      </w:r>
      <w:r>
        <w:rPr>
          <w:rFonts w:ascii="黑体" w:hAnsi="黑体" w:eastAsia="黑体"/>
          <w:b w:val="0"/>
          <w:sz w:val="30"/>
          <w:szCs w:val="30"/>
        </w:rPr>
        <w:t>情况</w:t>
      </w:r>
      <w:bookmarkEnd w:id="10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2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2024年天津市河北区总工会(本级)预算中没有使用政府性基金预算安排的支出。</w:t>
      </w: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bookmarkStart w:id="11" w:name="_Toc78784578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九、关于国有资本经营预算支出情况表</w:t>
      </w:r>
      <w:bookmarkEnd w:id="11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2" w:firstLineChars="200"/>
        <w:textAlignment w:val="baseline"/>
      </w:pP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2024年天津市河北区总工会(本级)预算中没有使用国有资本经营预算预算安排的支出。</w:t>
      </w: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2" w:name="_Toc78784579"/>
      <w:r>
        <w:rPr>
          <w:rFonts w:hint="eastAsia" w:ascii="黑体" w:hAnsi="黑体" w:eastAsia="黑体"/>
          <w:b w:val="0"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</w:t>
      </w:r>
      <w:r>
        <w:rPr>
          <w:rFonts w:ascii="楷体" w:hAnsi="楷体" w:eastAsia="楷体" w:cs="仿宋_GB2312"/>
          <w:b/>
          <w:sz w:val="30"/>
          <w:szCs w:val="30"/>
        </w:rPr>
        <w:t>机关运行经费</w:t>
      </w:r>
      <w:bookmarkEnd w:id="12"/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部门2024年天津市河北区总工会（本级）1家行政单位的机关运行经费预算420550元，包括办公费66560元、水费8000元、电费15360元、邮电费12800元、取暖费48948元、差旅费2560元、维修（护）费3200元、培训费2880元、工会经费34303元、福利费68379元、其他交通费用157560元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（二）政府采购情况。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天津市河北区总工会2024年未安排政府采购预算。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（三）国有资产占用情况。</w:t>
      </w: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截至2023年7月底，本部门各单位共有车辆0辆，其中：副部（省）级及以上领导用车0辆、主要负责人干部用车0辆、机要通信用车0辆、应急保障用车0辆、执法执勤用车0辆、特种专业技术用车0辆、离退休干部服务用车0辆、其他用车0辆，其他用车主要包括无。单价（账面原值）100万元以上的设备0台（套）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（四）预算绩效情况说明。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本部门2024年实行绩效目标管理的项目0个，涉及预算金额0.00元。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13" w:name="_Toc78784585"/>
      <w:r>
        <w:rPr>
          <w:rFonts w:hint="eastAsia" w:ascii="黑体" w:hAnsi="黑体" w:eastAsia="黑体" w:cs="黑体"/>
          <w:b/>
          <w:bCs/>
          <w:sz w:val="44"/>
          <w:szCs w:val="44"/>
        </w:rPr>
        <w:t>第三部分  名词解释</w:t>
      </w:r>
      <w:bookmarkEnd w:id="13"/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机关运行经费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（“部门预算”和“机关运行经费”作为专业性名词各单位必须公开。除此之外，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hint="eastAsia" w:eastAsia="楷体_GB2312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hint="eastAsia" w:eastAsia="楷体_GB2312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第四部分  20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年部门预算表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一、《部门收支总体情况表》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二、《部门收入总体情况表》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三、《部门支出总体情况表》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四、《财政拨款收支总体情况表》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五、《一般公共预算支出情况表》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六、《一般公共预算基本支出情况表》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七、《一般公共预算“三公”经费支出情况表》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八、《政府性基金预算支出情况表》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九、《国有资本经营预算支出情况表》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十、《项目支出表》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十一、关于空表的说明</w:t>
      </w:r>
      <w:r>
        <w:rPr>
          <w:rFonts w:hint="eastAsia" w:ascii="楷体_GB2312" w:hAnsi="Times New Roman" w:eastAsia="楷体_GB2312"/>
          <w:b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1.“本单位（部门）2024年一般公共预算“三公”经费支出情况表为空表”。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　2.“本单位（部门）2024年政府性基金预算支出情况表为空表”。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　3.“本单位（部门）2024年国有资本经营预算支出情况表为空表”。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baseline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4.“本单位（部门）2024年项目支出表为空表”。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14" w:name="_GoBack"/>
      <w:bookmarkEnd w:id="14"/>
    </w:p>
    <w:p>
      <w:pPr>
        <w:spacing w:line="560" w:lineRule="exact"/>
        <w:rPr>
          <w:rFonts w:hint="eastAsia" w:eastAsia="楷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"/>
          <w:sz w:val="30"/>
          <w:szCs w:val="30"/>
        </w:rPr>
        <w:t>注：以上预算公开表均作为附表，附于预算公开说明文档后。</w:t>
      </w:r>
    </w:p>
    <w:sectPr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1YjE1OTI0ZjFiOGFhMWM4MWNjMzdkNjI3N2RmY2MifQ=="/>
  </w:docVars>
  <w:rsids>
    <w:rsidRoot w:val="00937D77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154E2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B4C4ACF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  <w:rsid w:val="DEFFAB64"/>
    <w:rsid w:val="F51C3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link w:val="14"/>
    <w:autoRedefine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11">
    <w:name w:val="page number"/>
    <w:autoRedefine/>
    <w:qFormat/>
    <w:uiPriority w:val="0"/>
  </w:style>
  <w:style w:type="character" w:customStyle="1" w:styleId="12">
    <w:name w:val="标题 1 Char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3">
    <w:name w:val="标题 2 Char"/>
    <w:link w:val="3"/>
    <w:autoRedefine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4">
    <w:name w:val="批注框文本 Char"/>
    <w:link w:val="5"/>
    <w:autoRedefine/>
    <w:qFormat/>
    <w:uiPriority w:val="0"/>
    <w:rPr>
      <w:sz w:val="18"/>
      <w:szCs w:val="18"/>
    </w:rPr>
  </w:style>
  <w:style w:type="character" w:customStyle="1" w:styleId="15">
    <w:name w:val="页脚 Char"/>
    <w:link w:val="6"/>
    <w:autoRedefine/>
    <w:qFormat/>
    <w:uiPriority w:val="99"/>
    <w:rPr>
      <w:sz w:val="18"/>
      <w:szCs w:val="18"/>
    </w:rPr>
  </w:style>
  <w:style w:type="paragraph" w:customStyle="1" w:styleId="16">
    <w:name w:val="Char Char"/>
    <w:basedOn w:val="4"/>
    <w:autoRedefine/>
    <w:qFormat/>
    <w:uiPriority w:val="0"/>
    <w:pPr>
      <w:adjustRightInd/>
      <w:spacing w:line="240" w:lineRule="auto"/>
      <w:jc w:val="both"/>
      <w:textAlignment w:val="auto"/>
    </w:pPr>
  </w:style>
  <w:style w:type="paragraph" w:styleId="17">
    <w:name w:val="List Paragraph"/>
    <w:basedOn w:val="1"/>
    <w:autoRedefine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711</Words>
  <Characters>4055</Characters>
  <Lines>33</Lines>
  <Paragraphs>9</Paragraphs>
  <TotalTime>0</TotalTime>
  <ScaleCrop>false</ScaleCrop>
  <LinksUpToDate>false</LinksUpToDate>
  <CharactersWithSpaces>4757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2019-01-31T15:44:00Z</dcterms:created>
  <dc:creator>朱春礼</dc:creator>
  <cp:lastModifiedBy>asus</cp:lastModifiedBy>
  <cp:lastPrinted>2022-01-18T17:13:00Z</cp:lastPrinted>
  <dcterms:modified xsi:type="dcterms:W3CDTF">2024-04-02T08:33:32Z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