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580" w:lineRule="exact"/>
        <w:jc w:val="center"/>
        <w:rPr>
          <w:rFonts w:eastAsia="黑体" w:hint="eastAsia"/>
          <w:w w:val="95"/>
          <w:sz w:val="44"/>
          <w:szCs w:val="44"/>
          <w:lang w:val="en-US" w:eastAsia="zh-CN"/>
        </w:rPr>
      </w:pPr>
      <w:r>
        <w:rPr>
          <w:rFonts w:eastAsia="黑体" w:hint="eastAsia"/>
          <w:w w:val="95"/>
          <w:sz w:val="44"/>
          <w:szCs w:val="44"/>
          <w:lang w:val="en-US" w:eastAsia="zh-CN"/>
        </w:rPr>
        <w:t xml:space="preserve">  </w:t>
      </w: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hint="eastAsia"/>
          <w:w w:val="95"/>
          <w:sz w:val="44"/>
          <w:szCs w:val="44"/>
          <w:lang w:val="en-US" w:eastAsia="zh-CN"/>
        </w:rPr>
      </w:pPr>
    </w:p>
    <w:p>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pPr>
        <w:spacing w:line="580" w:lineRule="exact"/>
        <w:jc w:val="center"/>
        <w:rPr>
          <w:rFonts w:eastAsia="黑体"/>
          <w:w w:val="95"/>
          <w:sz w:val="44"/>
          <w:szCs w:val="44"/>
        </w:rPr>
      </w:pPr>
    </w:p>
    <w:p>
      <w:pPr>
        <w:spacing w:line="240" w:lineRule="auto"/>
        <w:jc w:val="center"/>
        <w:rPr>
          <w:rFonts w:ascii="黑体" w:eastAsia="黑体" w:hAnsi="黑体" w:cs="黑体" w:hint="eastAsia"/>
          <w:sz w:val="48"/>
          <w:szCs w:val="48"/>
          <w:lang w:val="en-US" w:eastAsia="zh-CN"/>
        </w:rPr>
      </w:pPr>
      <w:r>
        <w:rPr>
          <w:rFonts w:ascii="黑体" w:eastAsia="黑体" w:hAnsi="黑体" w:cs="黑体" w:hint="eastAsia"/>
          <w:sz w:val="48"/>
          <w:szCs w:val="48"/>
          <w:lang w:val="en-US" w:eastAsia="zh-CN"/>
        </w:rPr>
        <w:t>天津市河北区政府采购中心</w:t>
      </w:r>
    </w:p>
    <w:p>
      <w:pPr>
        <w:spacing w:line="240" w:lineRule="auto"/>
        <w:jc w:val="center"/>
        <w:rPr>
          <w:rFonts w:ascii="黑体" w:eastAsia="黑体" w:hAnsi="黑体" w:cs="黑体" w:hint="eastAsia"/>
          <w:sz w:val="48"/>
          <w:szCs w:val="48"/>
        </w:rPr>
      </w:pPr>
      <w:r>
        <w:rPr>
          <w:rFonts w:ascii="黑体" w:eastAsia="黑体" w:hAnsi="黑体" w:cs="黑体" w:hint="eastAsia"/>
          <w:sz w:val="48"/>
          <w:szCs w:val="48"/>
        </w:rPr>
        <w:t>202</w:t>
      </w:r>
      <w:r>
        <w:rPr>
          <w:rFonts w:ascii="黑体" w:eastAsia="黑体" w:hAnsi="黑体" w:cs="黑体" w:hint="eastAsia"/>
          <w:sz w:val="48"/>
          <w:szCs w:val="48"/>
          <w:lang w:val="en-US" w:eastAsia="zh-CN"/>
        </w:rPr>
        <w:t>4</w:t>
      </w:r>
      <w:r>
        <w:rPr>
          <w:rFonts w:ascii="黑体" w:eastAsia="黑体" w:hAnsi="黑体" w:cs="黑体" w:hint="eastAsia"/>
          <w:sz w:val="48"/>
          <w:szCs w:val="48"/>
        </w:rPr>
        <w:t>年部门预算</w:t>
      </w:r>
    </w:p>
    <w:p>
      <w:pPr>
        <w:spacing w:line="240" w:lineRule="auto"/>
        <w:jc w:val="center"/>
        <w:rPr>
          <w:rFonts w:ascii="方正小标宋简体" w:eastAsia="方正小标宋简体" w:hAnsi="方正小标宋简体" w:cs="方正小标宋简体" w:hint="eastAsia"/>
          <w:w w:val="95"/>
          <w:sz w:val="48"/>
          <w:szCs w:val="48"/>
        </w:rPr>
      </w:pPr>
    </w:p>
    <w:p>
      <w:pPr>
        <w:spacing w:line="580" w:lineRule="exact"/>
        <w:jc w:val="center"/>
        <w:rPr>
          <w:rFonts w:ascii="楷体_GB2312" w:eastAsia="楷体_GB2312" w:hint="eastAsia"/>
          <w:sz w:val="36"/>
          <w:szCs w:val="36"/>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w:t>
      </w:r>
      <w:r>
        <w:rPr>
          <w:rFonts w:ascii="仿宋_GB2312" w:eastAsia="仿宋_GB2312" w:hAnsi="Times New Roman" w:hint="eastAsia"/>
          <w:b/>
          <w:sz w:val="30"/>
          <w:szCs w:val="30"/>
          <w:lang w:val="en-US" w:eastAsia="zh-CN"/>
        </w:rPr>
        <w:t>4</w:t>
      </w:r>
      <w:r>
        <w:rPr>
          <w:rFonts w:ascii="仿宋_GB2312" w:eastAsia="仿宋_GB2312" w:hAnsi="Times New Roman" w:hint="eastAsia"/>
          <w:b/>
          <w:sz w:val="30"/>
          <w:szCs w:val="30"/>
        </w:rPr>
        <w:t>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w:t>
      </w:r>
      <w:r>
        <w:rPr>
          <w:rFonts w:ascii="仿宋_GB2312" w:eastAsia="仿宋_GB2312" w:hAnsi="Times New Roman" w:hint="eastAsia"/>
          <w:b/>
          <w:sz w:val="30"/>
          <w:szCs w:val="30"/>
          <w:lang w:eastAsia="zh-CN"/>
        </w:rPr>
        <w:t>24</w:t>
      </w:r>
      <w:r>
        <w:rPr>
          <w:rFonts w:ascii="仿宋_GB2312" w:eastAsia="仿宋_GB2312" w:hAnsi="Times New Roman" w:hint="eastAsia"/>
          <w:b/>
          <w:sz w:val="30"/>
          <w:szCs w:val="30"/>
        </w:rPr>
        <w:t>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num="1" w:space="720"/>
          <w:docGrid w:linePitch="326" w:charSpace="0"/>
        </w:sectPr>
      </w:pPr>
    </w:p>
    <w:p>
      <w:pPr>
        <w:pStyle w:val="Heading1"/>
        <w:spacing w:line="600" w:lineRule="exact"/>
        <w:jc w:val="center"/>
        <w:rPr>
          <w:rFonts w:ascii="黑体" w:eastAsia="黑体" w:hAnsi="黑体" w:cs="黑体" w:hint="eastAsia"/>
          <w:b w:val="0"/>
          <w:sz w:val="44"/>
          <w:szCs w:val="44"/>
        </w:rPr>
      </w:pPr>
      <w:bookmarkStart w:id="0" w:name="_Toc78784554"/>
      <w:r>
        <w:rPr>
          <w:rFonts w:ascii="黑体" w:eastAsia="黑体" w:hAnsi="黑体" w:cs="黑体" w:hint="eastAsia"/>
          <w:b w:val="0"/>
          <w:sz w:val="44"/>
          <w:szCs w:val="44"/>
        </w:rPr>
        <w:t>第一部分  概 况</w:t>
      </w:r>
      <w:bookmarkEnd w:id="0"/>
    </w:p>
    <w:p>
      <w:pPr>
        <w:spacing w:line="600" w:lineRule="exact"/>
        <w:rPr>
          <w:rFonts w:hint="eastAsia"/>
        </w:rPr>
      </w:pPr>
    </w:p>
    <w:p>
      <w:pPr>
        <w:pStyle w:val="Heading2"/>
        <w:spacing w:line="600" w:lineRule="exact"/>
        <w:ind w:firstLine="600" w:firstLineChars="200"/>
        <w:rPr>
          <w:rFonts w:ascii="黑体" w:eastAsia="黑体" w:hAnsi="黑体" w:hint="eastAsia"/>
          <w:sz w:val="30"/>
          <w:szCs w:val="30"/>
        </w:rPr>
      </w:pPr>
      <w:bookmarkStart w:id="1" w:name="_Toc78784555"/>
      <w:r>
        <w:rPr>
          <w:rFonts w:ascii="黑体" w:eastAsia="黑体" w:hAnsi="黑体" w:hint="eastAsia"/>
          <w:sz w:val="30"/>
          <w:szCs w:val="30"/>
        </w:rPr>
        <w:t>一、主要职责</w:t>
      </w:r>
      <w:bookmarkEnd w:id="1"/>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default"/>
          <w:sz w:val="30"/>
          <w:szCs w:val="30"/>
          <w:lang w:val="en-US" w:eastAsia="zh-CN"/>
        </w:rPr>
      </w:pPr>
      <w:bookmarkStart w:id="2" w:name="_Toc78784556"/>
      <w:r>
        <w:rPr>
          <w:rFonts w:ascii="仿宋_GB2312" w:eastAsia="仿宋_GB2312" w:hAnsi="Times New Roman" w:cs="Times New Roman" w:hint="eastAsia"/>
          <w:sz w:val="30"/>
          <w:szCs w:val="30"/>
          <w:lang w:val="en-US" w:eastAsia="zh-CN"/>
        </w:rPr>
        <w:t>贯彻执行政府采购法律、法规、规章和相关制度；依法负责政府集中改沟项目的组织实施，制定集中采购项目实施方案，明确采购规程、组织采购活动；受采购人委托代理集中采购目录外的项目采购；根据改沟人委托，组织采购人与中标或者成交供应商签订政府采购合同，协助采购人对采购目标进行验收。</w:t>
      </w:r>
    </w:p>
    <w:p>
      <w:pPr>
        <w:pStyle w:val="Heading2"/>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天津市河北区政府采购中心内设0个职能处室；下辖1个预算单位。</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纳入天津市河北区政府采购中心2024年部门预算编制范围的预算单位包括：</w:t>
      </w:r>
    </w:p>
    <w:p>
      <w:pPr>
        <w:spacing w:line="600" w:lineRule="exact"/>
        <w:ind w:firstLine="600"/>
        <w:jc w:val="both"/>
        <w:rPr>
          <w:rFonts w:ascii="仿宋_GB2312" w:eastAsia="仿宋_GB2312" w:hAnsi="Times New Roman" w:cs="Times New Roman" w:hint="eastAsia"/>
          <w:sz w:val="30"/>
          <w:szCs w:val="30"/>
          <w:lang w:val="en-US" w:eastAsia="zh-CN"/>
        </w:rPr>
        <w:sectPr>
          <w:footerReference w:type="default" r:id="rId7"/>
          <w:pgSz w:w="11907" w:h="16840"/>
          <w:pgMar w:top="2098" w:right="1474" w:bottom="1304" w:left="1588" w:header="765" w:footer="765" w:gutter="0"/>
          <w:pgNumType w:fmt="numberInDash" w:start="1"/>
          <w:cols w:num="1" w:space="720"/>
          <w:docGrid w:linePitch="326" w:charSpace="0"/>
        </w:sectPr>
      </w:pPr>
      <w:r>
        <w:rPr>
          <w:rFonts w:ascii="仿宋_GB2312" w:eastAsia="仿宋_GB2312" w:hAnsi="Times New Roman" w:cs="Times New Roman" w:hint="eastAsia"/>
          <w:sz w:val="30"/>
          <w:szCs w:val="30"/>
          <w:lang w:val="en-US" w:eastAsia="zh-CN"/>
        </w:rPr>
        <w:t>1.天津市河北区政府采购中心</w:t>
      </w:r>
    </w:p>
    <w:p>
      <w:pPr>
        <w:pStyle w:val="Heading1"/>
        <w:spacing w:line="600" w:lineRule="exact"/>
        <w:jc w:val="center"/>
        <w:rPr>
          <w:rFonts w:ascii="黑体" w:eastAsia="黑体" w:hint="eastAsia"/>
          <w:sz w:val="30"/>
          <w:szCs w:val="30"/>
        </w:rPr>
      </w:pPr>
      <w:bookmarkStart w:id="3" w:name="_Toc78784570"/>
      <w:r>
        <w:rPr>
          <w:rFonts w:ascii="黑体" w:eastAsia="黑体" w:hAnsi="黑体" w:cs="黑体" w:hint="eastAsia"/>
          <w:b/>
          <w:bCs/>
          <w:sz w:val="44"/>
          <w:szCs w:val="44"/>
        </w:rPr>
        <w:t>第二部分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年部门预算情况说明</w:t>
      </w:r>
      <w:bookmarkEnd w:id="3"/>
    </w:p>
    <w:p>
      <w:pPr>
        <w:pStyle w:val="Heading2"/>
        <w:spacing w:line="600" w:lineRule="exact"/>
        <w:ind w:firstLine="600" w:firstLineChars="200"/>
        <w:rPr>
          <w:rFonts w:ascii="黑体" w:eastAsia="黑体" w:hAnsi="黑体" w:hint="eastAsia"/>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按照综合预算的原则，天津市河北区政府采购中心所有收入和支出均纳入部门预算管理。收入包括：一般公共预算拨款收入722,893.00元、政府性基金预算拨款收入0.00元、国有资本经营预算拨款收入0.00元、财政专户管理资金收入0.00元、事业收入0.00元、事业单位经营收入0.00元、上级补助收入0.00元、附属单位上缴收入0.00元、其他收入0.00元、上年结转结余0.00元；支出包括：一般公共服务支出595,176.00元、社会保障和就业支出77,600.00元、卫生健康支出50,117.00元。天津市河北区政府采购中心2024年收支总预算722,893.00元。</w:t>
      </w:r>
    </w:p>
    <w:p>
      <w:pPr>
        <w:pStyle w:val="Heading2"/>
        <w:spacing w:line="600" w:lineRule="exact"/>
        <w:ind w:firstLine="600" w:firstLineChars="200"/>
        <w:rPr>
          <w:rFonts w:ascii="黑体" w:eastAsia="黑体" w:hAnsi="黑体" w:cs="仿宋_GB2312" w:hint="eastAsia"/>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政府采购中心2024年部门预算收入722,893.00元，与2023年预算相比减少34,516.00元，主要原因是人员变动。其中：上年结转结余0.00元，占0.00%；一般公共预算722,893.00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pPr>
        <w:pStyle w:val="Heading2"/>
        <w:spacing w:line="600" w:lineRule="exact"/>
        <w:ind w:firstLine="600" w:firstLineChars="200"/>
        <w:rPr>
          <w:rFonts w:ascii="黑体" w:eastAsia="黑体" w:hAnsi="黑体" w:cs="仿宋_GB2312" w:hint="eastAsia"/>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7" w:name="_Toc78784574"/>
      <w:r>
        <w:rPr>
          <w:rFonts w:ascii="仿宋_GB2312" w:eastAsia="仿宋_GB2312" w:hAnsi="Times New Roman" w:cs="Times New Roman" w:hint="eastAsia"/>
          <w:sz w:val="30"/>
          <w:szCs w:val="30"/>
          <w:lang w:val="en-US" w:eastAsia="zh-CN"/>
        </w:rPr>
        <w:t>天津市河北区政府采购中心2024年支出预算722,893.00元，与2023年预算相比减少34,516.00元，主要原因是人员变动。其中：基本支出722,893.00元，占100.00%；项目支出0.00元，占0.00%；事业单位经营支出0.00元，占0.00%；上缴上级支出0.00元，占0.00%；对附属单位补助支出0.00元，占0.00%。</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8" w:name="_Toc78784575"/>
      <w:r>
        <w:rPr>
          <w:rFonts w:ascii="仿宋_GB2312" w:eastAsia="仿宋_GB2312" w:hAnsi="Times New Roman" w:cs="Times New Roman" w:hint="eastAsia"/>
          <w:sz w:val="30"/>
          <w:szCs w:val="30"/>
          <w:lang w:val="en-US" w:eastAsia="zh-CN"/>
        </w:rPr>
        <w:t>天津市河北区政府采购中心2024年财政拨款收入预算722,893.00元，与2023年预算相比减少34,516.00元，主要原因是人员变动。收入包括：一般公共预算拨款收入722,893.00元、政府性基金预算拨款收入0.00元、国有资本经营预算拨款收入0.00元、上年财政结转结余0.00元。2024年财政拨款支出预算722,893.00元，与2023年预算相比减少34,516.00元，主要原因是人员变动。支出包括：一般公共服务支出595,176.00元、社会保障和就业支出77,600.00元、卫生健康支出50,117.00元。</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（一）总体情况。</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天津市河北区政府采购中心2024年一般公共预算支出722,893.00元，与2023年预算相比减少34,516.00元，主要原因是人员变动。</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lang w:eastAsia="zh-CN"/>
        </w:rPr>
        <w:t>（</w:t>
      </w:r>
      <w:r>
        <w:rPr>
          <w:rFonts w:ascii="楷体" w:eastAsia="楷体" w:hAnsi="楷体" w:cs="仿宋_GB2312" w:hint="eastAsia"/>
          <w:b/>
          <w:sz w:val="30"/>
          <w:szCs w:val="30"/>
          <w:lang w:val="en-US" w:eastAsia="zh-CN"/>
        </w:rPr>
        <w:t>二</w:t>
      </w:r>
      <w:r>
        <w:rPr>
          <w:rFonts w:ascii="楷体" w:eastAsia="楷体" w:hAnsi="楷体" w:cs="仿宋_GB2312" w:hint="eastAsia"/>
          <w:b/>
          <w:sz w:val="30"/>
          <w:szCs w:val="30"/>
          <w:lang w:eastAsia="zh-CN"/>
        </w:rPr>
        <w:t>）</w:t>
      </w:r>
      <w:r>
        <w:rPr>
          <w:rFonts w:ascii="楷体" w:eastAsia="楷体" w:hAnsi="楷体" w:cs="仿宋_GB2312" w:hint="eastAsia"/>
          <w:b/>
          <w:sz w:val="30"/>
          <w:szCs w:val="30"/>
        </w:rPr>
        <w:t>具体情况</w:t>
      </w:r>
      <w:r>
        <w:rPr>
          <w:rFonts w:ascii="楷体" w:eastAsia="楷体" w:hAnsi="楷体" w:cs="仿宋_GB2312" w:hint="eastAsia"/>
          <w:b/>
          <w:sz w:val="30"/>
          <w:szCs w:val="30"/>
        </w:rPr>
        <w:t>。</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1.“一般公共服务支出（类）”595,176.00元，与2023年预算相比减少48,222.00元，主要原因是人员变动。其中：</w:t>
        <w:br/>
        <w:t>　　“财政事务（款）”595,176.00元，包括：“事业运行（项）”595,176.00元，主要用于中心工作人员工资等支出。</w:t>
        <w:br/>
        <w:t>　　2.“社会保障和就业支出（类）”77,600.00元，与2023年预算相比减少2,767.00元，主要原因是人员变动。其中：</w:t>
        <w:br/>
        <w:t>　　“行政事业单位养老支出（款）”77,600.00元，包括：“机关事业单位基本养老保险缴费支出（项）”51,733.00元，主要用于中心人员工基本养老保险缴费的支出。“机关事业单位职业年金缴费支出（项）”25,867.00元，主要用于中心工作人员职业年金缴费支出。</w:t>
        <w:br/>
        <w:t>　　3.“卫生健康支出（类）”50,117.00元，与2023年预算相比增加16,473.00元，主要原因是人员变动。其中：</w:t>
        <w:br/>
        <w:t>　　“行政事业单位医疗（款）”50,117.00元，包括：“事业单位医疗（项）”33,950.00元，主要用于单位工作人员医疗保险缴费支出。“其他行政事业单位医疗支出（项）”16,167.00元，主要用于单位工作人员其他医疗保险缴费支出。</w:t>
      </w:r>
    </w:p>
    <w:p>
      <w:pPr>
        <w:numPr>
          <w:ilvl w:val="0"/>
          <w:numId w:val="0"/>
        </w:numPr>
        <w:spacing w:line="600" w:lineRule="exact"/>
        <w:rPr>
          <w:rFonts w:ascii="楷体" w:eastAsia="楷体" w:hAnsi="楷体" w:cs="仿宋_GB2312" w:hint="eastAsia"/>
          <w:b/>
          <w:sz w:val="30"/>
          <w:szCs w:val="30"/>
        </w:rPr>
      </w:pPr>
    </w:p>
    <w:p>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bookmarkStart w:id="10" w:name="_Toc78784577"/>
      <w:r>
        <w:rPr>
          <w:rFonts w:ascii="仿宋_GB2312" w:eastAsia="仿宋_GB2312" w:hAnsi="Times New Roman" w:cs="Times New Roman" w:hint="eastAsia"/>
          <w:sz w:val="30"/>
          <w:szCs w:val="30"/>
          <w:lang w:val="en-US" w:eastAsia="zh-CN"/>
        </w:rPr>
        <w:t>天津市河北区政府采购中心一般公共预算基本支出722,893.00元，与2023年预算相比减少34,516.00元，主要原因是人员变动。其中：</w:t>
        <w:br/>
        <w:t>　　人员经费708,313.00元，主要包括：基本工资、津贴补贴、绩效工资、机关事业单位基本养老保险缴费、职业年金缴费、职工基本医疗保险缴费、其他社会保障缴费、住房公积金、医疗费、奖励金。</w:t>
        <w:br/>
        <w:t>　　公用经费14,580.00元，主要包括：工会经费、福利费。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仿宋_GB2312" w:eastAsia="仿宋_GB2312" w:hAnsi="Times New Roman" w:cs="Times New Roman" w:hint="eastAsia"/>
          <w:sz w:val="30"/>
          <w:szCs w:val="30"/>
          <w:lang w:val="en-US" w:eastAsia="zh-CN"/>
        </w:rPr>
        <w:t>2024年一般公共预算“三公”经费安排0.00元，与2023年预算相比增加（减少）0.00元，主要原因是本部门一般公共预算未安排“三公”经费。具体情况：</w:t>
        <w:br/>
        <w:t>　　一、2024年因公出国（境）费预算0.00元，与2023年预算相比增加（减少）0.00元，主要原因是本部门一般公共预算未安排“因公出国（境）”费。</w:t>
        <w:br/>
        <w:t>　　二、2024年公务用车购置及运行费预算0.00元，其中公务用车运行费0.00元，与2023年预算相比增加（减少）0.00元，主要原因是本部门一般公共预算未安排“公务用车运行”费；公务用车购置费0.00元，与2023年预算相比增加（减少）0.00元，主要原因是本部门一般公共预算未安排“公务用车购置”费。</w:t>
        <w:br/>
        <w:t>　　三、2024年公务接待费预算0.00元，与2023年预算相比增加（减少）0.00元，主要原因是本部门一般公共预算未安排“公务接待”费。</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rPr>
          <w:rFonts w:eastAsia="仿宋_GB2312" w:hint="default"/>
          <w:sz w:val="30"/>
          <w:szCs w:val="30"/>
          <w:lang w:val="en-US"/>
        </w:rPr>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2024年天津市河北区政府采购中心预算中没有使用政府性基金预算安排的支出。</w:t>
      </w:r>
      <w:r>
        <w:rPr>
          <w:rFonts w:ascii="楷体" w:eastAsia="楷体" w:hAnsi="楷体" w:cs="仿宋_GB2312" w:hint="eastAsia"/>
          <w:b/>
          <w:sz w:val="30"/>
          <w:szCs w:val="30"/>
          <w:lang w:val="en-US" w:eastAsia="zh-CN"/>
        </w:rPr>
        <w:t xml:space="preserve"> </w:t>
      </w:r>
      <w:bookmarkStart w:id="11" w:name="_Toc78784578"/>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00" w:firstLineChars="200"/>
        <w:textAlignment w:val="baseline"/>
      </w:pP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2024年天津市河北区政府采购中心预算中没有使用国有资本经营预算预算安排的支出。</w:t>
      </w:r>
      <w:r>
        <w:rPr>
          <w:rFonts w:ascii="楷体" w:eastAsia="楷体" w:hAnsi="楷体" w:cs="仿宋_GB2312" w:hint="eastAsia"/>
          <w:b/>
          <w:sz w:val="30"/>
          <w:szCs w:val="30"/>
          <w:lang w:val="en-US" w:eastAsia="zh-CN"/>
        </w:rPr>
        <w:t xml:space="preserve"> </w:t>
      </w:r>
      <w:r>
        <w:rPr>
          <w:rFonts w:ascii="仿宋_GB2312" w:eastAsia="仿宋_GB2312" w:hAnsi="Times New Roman" w:cs="Times New Roman" w:hint="eastAsia"/>
          <w:sz w:val="30"/>
          <w:szCs w:val="30"/>
          <w:lang w:val="en-US" w:eastAsia="zh-CN"/>
        </w:rPr>
        <w:t xml:space="preserve"> </w:t>
      </w:r>
    </w:p>
    <w:p>
      <w:pPr>
        <w:pStyle w:val="Heading2"/>
        <w:spacing w:line="600" w:lineRule="exact"/>
        <w:ind w:firstLine="600" w:firstLineChars="200"/>
        <w:rPr>
          <w:rFonts w:ascii="黑体" w:eastAsia="黑体" w:hAnsi="黑体" w:hint="eastAsia"/>
          <w:b w:val="0"/>
          <w:sz w:val="30"/>
          <w:szCs w:val="30"/>
        </w:rPr>
      </w:pPr>
      <w:bookmarkStart w:id="12" w:name="_Toc78784579"/>
      <w:r>
        <w:rPr>
          <w:rFonts w:ascii="黑体" w:eastAsia="黑体" w:hAnsi="黑体" w:hint="eastAsia"/>
          <w:b w:val="0"/>
          <w:sz w:val="30"/>
          <w:szCs w:val="30"/>
        </w:rPr>
        <w:t>十、其他重要事项的情况说明</w:t>
      </w:r>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天津市河北区政府采购中心2024年未安排机关运行经费预算。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（二）政府采购情况</w:t>
      </w:r>
      <w:r>
        <w:rPr>
          <w:rFonts w:ascii="楷体" w:eastAsia="楷体" w:hAnsi="楷体" w:cs="仿宋_GB2312" w:hint="eastAsia"/>
          <w:b/>
          <w:sz w:val="30"/>
          <w:szCs w:val="30"/>
        </w:rPr>
        <w:t>。</w:t>
      </w:r>
    </w:p>
    <w:p>
      <w:pPr>
        <w:spacing w:line="580" w:lineRule="exact"/>
        <w:ind w:firstLine="600" w:firstLineChars="200"/>
        <w:rPr>
          <w:rFonts w:eastAsia="楷体_GB2312" w:hint="eastAsia"/>
          <w:sz w:val="30"/>
          <w:szCs w:val="30"/>
        </w:rPr>
      </w:pPr>
      <w:r>
        <w:rPr>
          <w:rFonts w:ascii="仿宋_GB2312" w:eastAsia="仿宋_GB2312" w:hAnsi="仿宋_GB2312" w:cs="仿宋_GB2312" w:hint="eastAsia"/>
          <w:sz w:val="30"/>
          <w:szCs w:val="30"/>
          <w:lang w:val="en-US" w:eastAsia="zh-CN"/>
        </w:rPr>
        <w:t>天津市河北区政府采购中心2024年未安排政府采购预算。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（三）国有资产占用情况。</w:t>
      </w:r>
    </w:p>
    <w:p>
      <w:pPr>
        <w:spacing w:line="580" w:lineRule="exact"/>
        <w:ind w:firstLine="600" w:firstLineChars="200"/>
        <w:jc w:val="both"/>
        <w:rPr>
          <w:rFonts w:eastAsia="仿宋_GB2312" w:hint="eastAsia"/>
          <w:sz w:val="30"/>
          <w:szCs w:val="30"/>
        </w:rPr>
      </w:pPr>
      <w:r>
        <w:rPr>
          <w:rFonts w:ascii="仿宋_GB2312" w:eastAsia="仿宋_GB2312" w:hAnsi="仿宋_GB2312" w:cs="仿宋_GB2312" w:hint="eastAsia"/>
          <w:color w:val="000000"/>
          <w:sz w:val="30"/>
          <w:szCs w:val="30"/>
          <w:lang w:val="en-US" w:eastAsia="zh-CN"/>
        </w:rPr>
        <w:t>截至2023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pPr>
        <w:spacing w:line="600" w:lineRule="exact"/>
        <w:ind w:left="480" w:leftChars="200"/>
        <w:rPr>
          <w:rFonts w:ascii="楷体" w:eastAsia="楷体" w:hAnsi="楷体" w:cs="仿宋_GB2312" w:hint="eastAsia"/>
          <w:b/>
          <w:sz w:val="30"/>
          <w:szCs w:val="30"/>
        </w:rPr>
      </w:pPr>
      <w:r>
        <w:rPr>
          <w:rFonts w:ascii="楷体" w:eastAsia="楷体" w:hAnsi="楷体" w:cs="仿宋_GB2312" w:hint="eastAsia"/>
          <w:b/>
          <w:sz w:val="30"/>
          <w:szCs w:val="30"/>
        </w:rPr>
        <w:t>（四）预算绩效情况说明。</w:t>
      </w:r>
    </w:p>
    <w:p>
      <w:pPr>
        <w:spacing w:line="580" w:lineRule="exact"/>
        <w:ind w:firstLine="600" w:firstLineChars="200"/>
        <w:jc w:val="both"/>
        <w:rPr>
          <w:rFonts w:ascii="仿宋_GB2312" w:eastAsia="仿宋_GB2312" w:hAnsi="仿宋_GB2312" w:cs="仿宋_GB2312" w:hint="eastAsia"/>
          <w:sz w:val="30"/>
          <w:szCs w:val="30"/>
          <w:lang w:val="en-US" w:eastAsia="zh-CN"/>
        </w:rPr>
        <w:sectPr>
          <w:pgSz w:w="11907" w:h="16840"/>
          <w:pgMar w:top="2098" w:right="1474" w:bottom="1304" w:left="1588" w:header="765" w:footer="765" w:gutter="0"/>
          <w:pgNumType w:fmt="numberInDash" w:start="1"/>
          <w:cols w:num="1" w:space="720"/>
          <w:docGrid w:linePitch="326" w:charSpace="0"/>
        </w:sectPr>
      </w:pPr>
      <w:r>
        <w:rPr>
          <w:rFonts w:ascii="仿宋_GB2312" w:eastAsia="仿宋_GB2312" w:hAnsi="仿宋_GB2312" w:cs="仿宋_GB2312" w:hint="eastAsia"/>
          <w:sz w:val="30"/>
          <w:szCs w:val="30"/>
          <w:lang w:val="en-US" w:eastAsia="zh-CN"/>
        </w:rPr>
        <w:t>本部门2024年实行绩效目标管理的项目0个，涉及预算金额0.00元。</w:t>
      </w:r>
    </w:p>
    <w:p>
      <w:pPr>
        <w:spacing w:line="580" w:lineRule="exact"/>
        <w:jc w:val="both"/>
        <w:rPr>
          <w:rFonts w:ascii="仿宋_GB2312" w:eastAsia="仿宋_GB2312" w:hAnsi="仿宋_GB2312" w:cs="仿宋_GB2312" w:hint="eastAsia"/>
          <w:sz w:val="30"/>
          <w:szCs w:val="30"/>
          <w:lang w:val="en-US" w:eastAsia="zh-CN"/>
        </w:rPr>
      </w:pPr>
    </w:p>
    <w:p>
      <w:pPr>
        <w:pStyle w:val="Heading1"/>
        <w:spacing w:line="600" w:lineRule="exact"/>
        <w:jc w:val="center"/>
        <w:rPr>
          <w:rFonts w:ascii="黑体" w:eastAsia="黑体" w:hAnsi="黑体" w:cs="黑体" w:hint="eastAsia"/>
          <w:b/>
          <w:bCs/>
          <w:sz w:val="44"/>
          <w:szCs w:val="44"/>
        </w:rPr>
      </w:pPr>
      <w:bookmarkStart w:id="13" w:name="_Toc78784585"/>
      <w:r>
        <w:rPr>
          <w:rFonts w:ascii="黑体" w:eastAsia="黑体" w:hAnsi="黑体" w:cs="黑体" w:hint="eastAsia"/>
          <w:b/>
          <w:bCs/>
          <w:sz w:val="44"/>
          <w:szCs w:val="44"/>
        </w:rPr>
        <w:t>第三部分  名词解释</w:t>
      </w:r>
      <w:bookmarkEnd w:id="13"/>
    </w:p>
    <w:p>
      <w:pPr>
        <w:spacing w:line="600" w:lineRule="exact"/>
        <w:ind w:firstLine="600" w:firstLineChars="200"/>
        <w:rPr>
          <w:rFonts w:ascii="仿宋_GB2312" w:eastAsia="仿宋_GB2312" w:hint="eastAsia"/>
          <w:sz w:val="30"/>
          <w:szCs w:val="30"/>
        </w:rPr>
      </w:pPr>
    </w:p>
    <w:p>
      <w:pPr>
        <w:spacing w:line="580" w:lineRule="exact"/>
        <w:ind w:firstLine="600" w:firstLineChars="2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600" w:firstLineChars="200"/>
        <w:rPr>
          <w:rFonts w:eastAsia="楷体_GB2312" w:hint="eastAsia"/>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hint="eastAsia"/>
          <w:sz w:val="30"/>
          <w:szCs w:val="30"/>
        </w:rPr>
      </w:pPr>
    </w:p>
    <w:p>
      <w:pPr>
        <w:spacing w:line="580" w:lineRule="exact"/>
        <w:ind w:firstLine="600" w:firstLineChars="200"/>
        <w:rPr>
          <w:rFonts w:eastAsia="楷体_GB2312"/>
          <w:sz w:val="30"/>
          <w:szCs w:val="30"/>
        </w:rPr>
      </w:pPr>
    </w:p>
    <w:p>
      <w:pPr>
        <w:pStyle w:val="Heading1"/>
        <w:spacing w:line="600" w:lineRule="exact"/>
        <w:jc w:val="center"/>
        <w:rPr>
          <w:rFonts w:ascii="黑体" w:eastAsia="黑体" w:hAnsi="黑体" w:cs="黑体" w:hint="eastAsia"/>
          <w:b/>
          <w:bCs/>
          <w:sz w:val="44"/>
          <w:szCs w:val="44"/>
        </w:rPr>
      </w:pPr>
      <w:r>
        <w:rPr>
          <w:rFonts w:ascii="黑体" w:eastAsia="黑体" w:hAnsi="黑体" w:cs="黑体" w:hint="eastAsia"/>
          <w:b/>
          <w:bCs/>
          <w:sz w:val="44"/>
          <w:szCs w:val="44"/>
        </w:rPr>
        <w:t>第四部分  20</w:t>
      </w:r>
      <w:r>
        <w:rPr>
          <w:rFonts w:ascii="黑体" w:eastAsia="黑体" w:hAnsi="黑体" w:cs="黑体" w:hint="eastAsia"/>
          <w:b/>
          <w:bCs/>
          <w:sz w:val="44"/>
          <w:szCs w:val="44"/>
          <w:lang w:eastAsia="zh-CN"/>
        </w:rPr>
        <w:t>24</w:t>
      </w:r>
      <w:r>
        <w:rPr>
          <w:rFonts w:ascii="黑体" w:eastAsia="黑体" w:hAnsi="黑体" w:cs="黑体" w:hint="eastAsia"/>
          <w:b/>
          <w:bCs/>
          <w:sz w:val="44"/>
          <w:szCs w:val="44"/>
        </w:rPr>
        <w:t>年部门预算表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七、</w:t>
      </w:r>
      <w:bookmarkStart w:id="14" w:name="_GoBack"/>
      <w:bookmarkEnd w:id="14"/>
      <w:r>
        <w:rPr>
          <w:rFonts w:ascii="楷体_GB2312" w:eastAsia="楷体_GB2312" w:hAnsi="Times New Roman" w:hint="eastAsia"/>
          <w:b/>
          <w:sz w:val="30"/>
          <w:szCs w:val="30"/>
        </w:rPr>
        <w:t>《一般公共预算“三公”经费支出情况表》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480" w:leftChars="20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baseline"/>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1.“本部门2024年一般公共预算“三公”经费支出情况表为空表”。</w:t>
        <w:br/>
        <w:t>　　2.“本部门2024年政府性基金预算支出情况表为空表”。</w:t>
        <w:br/>
        <w:t>　　3.“本部门2024年国有资本经营预算支出情况表为空表”。</w:t>
        <w:br/>
        <w:t>　　4.“本部门2024年项目支出表为空表”。</w:t>
      </w:r>
    </w:p>
    <w:p>
      <w:pPr>
        <w:spacing w:line="560" w:lineRule="exact"/>
        <w:rPr>
          <w:rFonts w:eastAsia="楷体" w:hint="eastAsia"/>
          <w:sz w:val="30"/>
          <w:szCs w:val="30"/>
        </w:rPr>
      </w:pPr>
    </w:p>
    <w:p>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pgSz w:w="11907" w:h="16840"/>
      <w:pgMar w:top="2098" w:right="1474" w:bottom="1304" w:left="1588" w:header="765" w:footer="765" w:gutter="0"/>
      <w:pgNumType w:fmt="numberInDash" w:start="1"/>
      <w:cols w:num="1" w:space="72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fldChar w:fldCharType="begin"/>
    </w:r>
    <w:r>
      <w:instrText>PAGE   \* MERGEFORMAT</w:instrText>
    </w:r>
    <w:r>
      <w:fldChar w:fldCharType="separate"/>
    </w:r>
    <w:r>
      <w:rPr>
        <w:lang w:val="zh-CN"/>
      </w:rPr>
      <w:t>-</w:t>
    </w:r>
    <w:r>
      <w:t xml:space="preserve"> 5 -</w:t>
    </w:r>
    <w:r>
      <w:fldChar w:fldCharType="end"/>
    </w:r>
  </w:p>
  <w:p>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autoRedefine/>
    <w:uiPriority w:val="9"/>
    <w:qFormat/>
    <w:pPr>
      <w:keepNext/>
      <w:keepLines/>
      <w:spacing w:before="340" w:after="330" w:line="578" w:lineRule="atLeast"/>
      <w:outlineLvl w:val="0"/>
    </w:pPr>
    <w:rPr>
      <w:rFonts w:ascii="Times New Roman" w:hAnsi="Times New Roman"/>
      <w:b/>
      <w:bCs/>
      <w:kern w:val="44"/>
      <w:sz w:val="44"/>
      <w:szCs w:val="44"/>
    </w:rPr>
  </w:style>
  <w:style w:type="paragraph" w:styleId="Heading2">
    <w:name w:val="heading 2"/>
    <w:basedOn w:val="Normal"/>
    <w:next w:val="Normal"/>
    <w:link w:val="2Char"/>
    <w:uiPriority w:val="9"/>
    <w:qFormat/>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DocumentMap">
    <w:name w:val="Document Map"/>
    <w:basedOn w:val="Normal"/>
    <w:autoRedefine/>
    <w:semiHidden/>
    <w:qFormat/>
    <w:pPr>
      <w:shd w:val="clear" w:color="auto" w:fill="000080"/>
    </w:pPr>
  </w:style>
  <w:style w:type="paragraph" w:styleId="BalloonText">
    <w:name w:val="Balloon Text"/>
    <w:basedOn w:val="Normal"/>
    <w:link w:val="Char"/>
    <w:autoRedefine/>
    <w:qFormat/>
    <w:pPr>
      <w:spacing w:line="240" w:lineRule="auto"/>
    </w:pPr>
    <w:rPr>
      <w:sz w:val="18"/>
      <w:szCs w:val="18"/>
    </w:rPr>
  </w:style>
  <w:style w:type="paragraph" w:styleId="Footer">
    <w:name w:val="footer"/>
    <w:basedOn w:val="Normal"/>
    <w:link w:val="Char0"/>
    <w:autoRedefine/>
    <w:uiPriority w:val="99"/>
    <w:qFormat/>
    <w:pPr>
      <w:tabs>
        <w:tab w:val="center" w:pos="4153"/>
        <w:tab w:val="right" w:pos="8306"/>
      </w:tabs>
      <w:snapToGrid w:val="0"/>
      <w:spacing w:line="240" w:lineRule="atLeas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style>
  <w:style w:type="character" w:customStyle="1" w:styleId="1Char">
    <w:name w:val="标题 1 Char"/>
    <w:link w:val="Heading1"/>
    <w:autoRedefine/>
    <w:uiPriority w:val="9"/>
    <w:qFormat/>
    <w:rPr>
      <w:rFonts w:ascii="Times New Roman" w:hAnsi="Times New Roman"/>
      <w:b/>
      <w:bCs/>
      <w:kern w:val="44"/>
      <w:sz w:val="44"/>
      <w:szCs w:val="44"/>
    </w:rPr>
  </w:style>
  <w:style w:type="character" w:customStyle="1" w:styleId="2Char">
    <w:name w:val="标题 2 Char"/>
    <w:link w:val="Heading2"/>
    <w:autoRedefine/>
    <w:uiPriority w:val="9"/>
    <w:qFormat/>
    <w:rPr>
      <w:rFonts w:ascii="Cambria" w:hAnsi="Cambria"/>
      <w:b/>
      <w:bCs/>
      <w:sz w:val="32"/>
      <w:szCs w:val="32"/>
    </w:rPr>
  </w:style>
  <w:style w:type="character" w:customStyle="1" w:styleId="Char">
    <w:name w:val="批注框文本 Char"/>
    <w:link w:val="BalloonText"/>
    <w:autoRedefine/>
    <w:qFormat/>
    <w:rPr>
      <w:sz w:val="18"/>
      <w:szCs w:val="18"/>
    </w:rPr>
  </w:style>
  <w:style w:type="character" w:customStyle="1" w:styleId="Char0">
    <w:name w:val="页脚 Char"/>
    <w:link w:val="Footer"/>
    <w:autoRedefine/>
    <w:uiPriority w:val="99"/>
    <w:qFormat/>
    <w:rPr>
      <w:sz w:val="18"/>
      <w:szCs w:val="18"/>
    </w:rPr>
  </w:style>
  <w:style w:type="paragraph" w:customStyle="1" w:styleId="CharChar">
    <w:name w:val="Char Char"/>
    <w:basedOn w:val="DocumentMap"/>
    <w:autoRedefine/>
    <w:qFormat/>
    <w:pPr>
      <w:adjustRightInd/>
      <w:spacing w:line="240" w:lineRule="auto"/>
      <w:jc w:val="both"/>
      <w:textAlignment w:val="auto"/>
    </w:pPr>
  </w:style>
  <w:style w:type="paragraph" w:styleId="ListParagraph">
    <w:name w:val="List Paragraph"/>
    <w:basedOn w:val="Normal"/>
    <w:autoRedefine/>
    <w:uiPriority w:val="34"/>
    <w:qFormat/>
    <w:pPr>
      <w:adjustRightInd/>
      <w:spacing w:line="240" w:lineRule="auto"/>
      <w:ind w:firstLine="420" w:firstLineChars="200"/>
      <w:jc w:val="both"/>
      <w:textAlignment w:val="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Pages>13</Pages>
  <Words>711</Words>
  <Characters>4055</Characters>
  <Application>Microsoft Office Word</Application>
  <DocSecurity>0</DocSecurity>
  <Lines>33</Lines>
  <Paragraphs>9</Paragraphs>
  <ScaleCrop>false</ScaleCrop>
  <Company>微软中国</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asus</cp:lastModifiedBy>
  <cp:revision>8</cp:revision>
  <cp:lastPrinted>2022-01-18T17:13:00Z</cp:lastPrinted>
  <dcterms:created xsi:type="dcterms:W3CDTF">2019-01-31T15:44:00Z</dcterms:created>
  <dcterms:modified xsi:type="dcterms:W3CDTF">2024-02-29T07:39:40Z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