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 xml:space="preserve">  </w:t>
      </w: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ab/>
      </w:r>
      <w:r>
        <w:rPr>
          <w:rFonts w:hint="eastAsia" w:eastAsia="黑体"/>
          <w:w w:val="95"/>
          <w:sz w:val="44"/>
          <w:szCs w:val="44"/>
        </w:rPr>
        <w:tab/>
      </w: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天津市河北区望海楼街道党群服务中心(综合便民服务中心)</w:t>
      </w:r>
    </w:p>
    <w:p>
      <w:pPr>
        <w:spacing w:line="24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2024年部门预算</w:t>
      </w: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ascii="黑体" w:eastAsia="黑体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第一部分  概 况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一、主要职责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第二部分  2024年部门预算情况说明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一、关于收支总体情况表的说明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二、关于收入总体情况表的说明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三、关于支出总体情况表的说明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四、关于财政拨款收支总体情况表的说明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五、关于一般公共预算支出情况的说明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六、关于一般公共预算基本支出情况表的说明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八、关于政府性基金预算支出情况表的说明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九、关于国有资本经营预算支出情况表的说明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第四部分  2024年部门预算表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一、部门收支总体情况表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二、部门收入总体情况表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三、部门支出总体情况表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四、财政拨款收支总体情况表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五、一般公共预算支出情况表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十、项目支出表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十一、关于空表的说明</w:t>
      </w:r>
      <w:r>
        <w:rPr>
          <w:rFonts w:hint="eastAsia" w:ascii="仿宋_GB2312" w:eastAsia="仿宋_GB2312"/>
          <w:sz w:val="30"/>
          <w:szCs w:val="30"/>
        </w:rPr>
        <w:tab/>
      </w:r>
    </w:p>
    <w:p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fldChar w:fldCharType="begin"/>
      </w:r>
      <w:r>
        <w:rPr>
          <w:rFonts w:ascii="仿宋_GB2312" w:eastAsia="仿宋_GB2312"/>
          <w:b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b/>
          <w:sz w:val="30"/>
          <w:szCs w:val="30"/>
        </w:rPr>
        <w:instrText xml:space="preserve">TOC \o "1-3" \h \z \u</w:instrText>
      </w:r>
      <w:r>
        <w:rPr>
          <w:rFonts w:ascii="仿宋_GB2312" w:eastAsia="仿宋_GB2312"/>
          <w:b/>
          <w:sz w:val="30"/>
          <w:szCs w:val="30"/>
        </w:rPr>
        <w:instrText xml:space="preserve"> </w:instrText>
      </w:r>
      <w:r>
        <w:rPr>
          <w:rFonts w:ascii="仿宋_GB2312" w:eastAsia="仿宋_GB2312"/>
          <w:b/>
          <w:sz w:val="30"/>
          <w:szCs w:val="30"/>
        </w:rPr>
        <w:fldChar w:fldCharType="separate"/>
      </w:r>
    </w:p>
    <w:p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ascii="黑体" w:hAnsi="黑体" w:eastAsia="黑体" w:cs="黑体"/>
          <w:b w:val="0"/>
        </w:rPr>
      </w:pPr>
      <w:bookmarkStart w:id="0" w:name="_Toc78784554"/>
      <w:r>
        <w:rPr>
          <w:rFonts w:hint="eastAsia" w:ascii="黑体" w:hAnsi="黑体" w:eastAsia="黑体" w:cs="黑体"/>
          <w:b w:val="0"/>
        </w:rPr>
        <w:t>第一部分  概 况</w:t>
      </w:r>
      <w:bookmarkEnd w:id="0"/>
    </w:p>
    <w:p>
      <w:pPr>
        <w:spacing w:line="600" w:lineRule="exact"/>
      </w:pPr>
    </w:p>
    <w:p>
      <w:pPr>
        <w:pStyle w:val="3"/>
        <w:spacing w:line="600" w:lineRule="exact"/>
        <w:ind w:firstLine="602" w:firstLineChars="200"/>
        <w:rPr>
          <w:rFonts w:ascii="黑体" w:hAnsi="黑体" w:eastAsia="黑体"/>
          <w:sz w:val="30"/>
          <w:szCs w:val="30"/>
        </w:rPr>
      </w:pPr>
      <w:bookmarkStart w:id="1" w:name="_Toc78784555"/>
      <w:r>
        <w:rPr>
          <w:rFonts w:hint="eastAsia" w:ascii="黑体" w:hAnsi="黑体" w:eastAsia="黑体"/>
          <w:sz w:val="30"/>
          <w:szCs w:val="30"/>
        </w:rPr>
        <w:t>一、主要职责</w:t>
      </w:r>
      <w:bookmarkEnd w:id="1"/>
    </w:p>
    <w:p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bookmarkStart w:id="2" w:name="_Toc78784556"/>
      <w:r>
        <w:rPr>
          <w:rFonts w:hint="eastAsia" w:ascii="仿宋_GB2312" w:eastAsia="仿宋_GB2312"/>
          <w:sz w:val="30"/>
          <w:szCs w:val="30"/>
        </w:rPr>
        <w:t>整合辖区内党的建设、审批服务、公共服务等各类服务中心，承担辖区内审批服务、公共服务等各类便民事项受理等事务性工作，为辖区内党组织开展活动和服务党员、群众提供保障。</w:t>
      </w:r>
    </w:p>
    <w:p>
      <w:pPr>
        <w:pStyle w:val="3"/>
        <w:spacing w:line="600" w:lineRule="exact"/>
        <w:ind w:firstLine="602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二、机构设置</w:t>
      </w:r>
      <w:bookmarkEnd w:id="2"/>
      <w:r>
        <w:rPr>
          <w:rFonts w:hint="eastAsia" w:ascii="黑体" w:hAnsi="黑体" w:eastAsia="黑体"/>
          <w:sz w:val="30"/>
          <w:szCs w:val="30"/>
        </w:rPr>
        <w:t>情况</w:t>
      </w:r>
    </w:p>
    <w:p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天津市河北区望海楼街道党群服务中心(综合便民服务中心)内设1个职能处室；下辖1个预算单位。</w:t>
      </w:r>
    </w:p>
    <w:p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纳入天津市河北区望海楼街道党群服务中心(综合便民服务中心)2024年部门预算编制范围的预算单位包括：</w:t>
      </w:r>
    </w:p>
    <w:p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>
          <w:footerReference r:id="rId8" w:type="default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  <w:r>
        <w:rPr>
          <w:rFonts w:hint="eastAsia" w:ascii="仿宋_GB2312" w:eastAsia="仿宋_GB2312"/>
          <w:sz w:val="30"/>
          <w:szCs w:val="30"/>
        </w:rPr>
        <w:t>1.天津市河北区望海楼街道党群服务中心(综合便民服务中心)</w:t>
      </w:r>
    </w:p>
    <w:p>
      <w:pPr>
        <w:pStyle w:val="2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3" w:name="_Toc78784570"/>
      <w:r>
        <w:rPr>
          <w:rFonts w:hint="eastAsia" w:ascii="黑体" w:hAnsi="黑体" w:eastAsia="黑体" w:cs="黑体"/>
        </w:rPr>
        <w:t>第二部分  2024年部门预算情况说明</w:t>
      </w:r>
      <w:bookmarkEnd w:id="3"/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bookmarkStart w:id="4" w:name="_Toc78784571"/>
      <w:r>
        <w:rPr>
          <w:rFonts w:hint="eastAsia" w:ascii="黑体" w:hAnsi="黑体" w:eastAsia="黑体"/>
          <w:b w:val="0"/>
          <w:sz w:val="30"/>
          <w:szCs w:val="30"/>
        </w:rPr>
        <w:t>一、关于收支总体情况</w:t>
      </w:r>
      <w:bookmarkEnd w:id="4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照综合预算的原则，天津市河北区望海楼街道党群服务中心(综合便民服务中心)所有收入和支出均纳入部门预算管理。收入包括：一般公共预算拨款收入3,431,408.00元、政府性基金预算拨款收入0.00元、国有资本经营预算拨款收入0.00元、财政专户管理资金收入0.00元、事业收入0.00元、事业单位经营收入0.00元、上级补助收入0.00元、附属单位上缴收入0.00元、其他收入0.00元、上年结转结余0.00元；支出包括：社会保障和就业支出3,193,087.00元、卫生健康支出238,321.00元。天津市河北区望海楼街道党群服务中心(综合便民服务中心)2024年收支总预算3,431,408.00元。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 w:cs="仿宋_GB2312"/>
          <w:b w:val="0"/>
          <w:sz w:val="30"/>
          <w:szCs w:val="30"/>
        </w:rPr>
      </w:pPr>
      <w:bookmarkStart w:id="5" w:name="_Toc78784572"/>
      <w:r>
        <w:rPr>
          <w:rFonts w:hint="eastAsia" w:ascii="黑体" w:hAnsi="黑体" w:eastAsia="黑体" w:cs="仿宋_GB2312"/>
          <w:b w:val="0"/>
          <w:sz w:val="30"/>
          <w:szCs w:val="30"/>
        </w:rPr>
        <w:t>二、关于收入总体情况</w:t>
      </w:r>
      <w:bookmarkEnd w:id="5"/>
      <w:r>
        <w:rPr>
          <w:rFonts w:hint="eastAsia" w:ascii="黑体" w:hAnsi="黑体" w:eastAsia="黑体" w:cs="仿宋_GB2312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津市河北区望海楼街道党群服务中心(综合便民服务中心)2024年部门预算收入3,431,408.00元，与2023年预算相比增加1,330,015.00元，主要原因是人员调入。其中：上年结转结余0.00元，占0.00%；一般公共预算3,431,408.00元，占100.00%；政府性基金预算0.00元，占0.00%；国有资本经营预算0.00元，占0.00%；财政专户管理资金0.00元，占0.00%；事业收入0.00元，占0.00%；事业单位经营收入0.00元，占0.00%；上级补助收入0.00元，占0.00%；附属单位上缴收入0.00元，占0.00%；其他收入0.00元，占0.00%。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 w:cs="仿宋_GB2312"/>
          <w:b w:val="0"/>
          <w:sz w:val="30"/>
          <w:szCs w:val="30"/>
        </w:rPr>
      </w:pPr>
      <w:bookmarkStart w:id="6" w:name="_Toc78784573"/>
      <w:r>
        <w:rPr>
          <w:rFonts w:hint="eastAsia" w:ascii="黑体" w:hAnsi="黑体" w:eastAsia="黑体" w:cs="仿宋_GB2312"/>
          <w:b w:val="0"/>
          <w:sz w:val="30"/>
          <w:szCs w:val="30"/>
        </w:rPr>
        <w:t>三、关于</w:t>
      </w:r>
      <w:r>
        <w:rPr>
          <w:rFonts w:ascii="黑体" w:hAnsi="黑体" w:eastAsia="黑体" w:cs="仿宋_GB2312"/>
          <w:b w:val="0"/>
          <w:sz w:val="30"/>
          <w:szCs w:val="30"/>
        </w:rPr>
        <w:t>支出</w:t>
      </w:r>
      <w:r>
        <w:rPr>
          <w:rFonts w:hint="eastAsia" w:ascii="黑体" w:hAnsi="黑体" w:eastAsia="黑体" w:cs="仿宋_GB2312"/>
          <w:b w:val="0"/>
          <w:sz w:val="30"/>
          <w:szCs w:val="30"/>
        </w:rPr>
        <w:t>总体情况表</w:t>
      </w:r>
      <w:bookmarkEnd w:id="6"/>
      <w:r>
        <w:rPr>
          <w:rFonts w:hint="eastAsia" w:ascii="黑体" w:hAnsi="黑体" w:eastAsia="黑体" w:cs="仿宋_GB2312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7" w:name="_Toc78784574"/>
      <w:r>
        <w:rPr>
          <w:rFonts w:hint="eastAsia" w:ascii="仿宋_GB2312" w:eastAsia="仿宋_GB2312"/>
          <w:sz w:val="30"/>
          <w:szCs w:val="30"/>
        </w:rPr>
        <w:t>天津市河北区望海楼街道党群服务中心(综合便民服务中心)2024年支出预算3,431,408.00元，与2023年预算相比增加1,330,015.00元，主要原因是人员调入。其中：基本支出3,431,408.00元，占100.00%；项目支出0.00元，占0.00%；事业单位经营支出0.00元，占0.00%；上缴上级支出0.00元，占0.00%；对附属单位补助支出0.00元，占0.00%。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四、关于财政拨款收支总体情况表</w:t>
      </w:r>
      <w:bookmarkEnd w:id="7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8" w:name="_Toc78784575"/>
      <w:r>
        <w:rPr>
          <w:rFonts w:hint="eastAsia" w:ascii="仿宋_GB2312" w:eastAsia="仿宋_GB2312"/>
          <w:sz w:val="30"/>
          <w:szCs w:val="30"/>
        </w:rPr>
        <w:t>天津市河北区望海楼街道党群服务中心(综合便民服务中心)2024年财政拨款收入预算3,431,408.00元，与2023年预算相比增加1,330,015.00元，主要原因是人员调入。收入包括：一般公共预算拨款收入3,431,408.00元、政府性基金预算拨款收入0.00元、国有资本经营预算拨款收入0.00元、上年财政结转结余0.00元。2024年财政拨款支出预算3,431,408.00元，与2023年预算相比增加1,330,015.00元，主要原因是人员调入。支出包括：社会保障和就业支出3,193,087.00元、卫生健康支出238,321.00元。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r>
        <w:rPr>
          <w:rFonts w:ascii="黑体" w:hAnsi="黑体" w:eastAsia="黑体"/>
          <w:b w:val="0"/>
          <w:sz w:val="30"/>
          <w:szCs w:val="30"/>
        </w:rPr>
        <w:t>五</w:t>
      </w:r>
      <w:r>
        <w:rPr>
          <w:rFonts w:hint="eastAsia" w:ascii="黑体" w:hAnsi="黑体" w:eastAsia="黑体"/>
          <w:b w:val="0"/>
          <w:sz w:val="30"/>
          <w:szCs w:val="30"/>
        </w:rPr>
        <w:t>、关于</w:t>
      </w:r>
      <w:r>
        <w:rPr>
          <w:rFonts w:ascii="黑体" w:hAnsi="黑体" w:eastAsia="黑体"/>
          <w:b w:val="0"/>
          <w:sz w:val="30"/>
          <w:szCs w:val="30"/>
        </w:rPr>
        <w:t>一般公共预算支出</w:t>
      </w:r>
      <w:r>
        <w:rPr>
          <w:rFonts w:hint="eastAsia" w:ascii="黑体" w:hAnsi="黑体" w:eastAsia="黑体"/>
          <w:b w:val="0"/>
          <w:sz w:val="30"/>
          <w:szCs w:val="30"/>
        </w:rPr>
        <w:t>情况表</w:t>
      </w:r>
      <w:bookmarkEnd w:id="8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（一）总体情况。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天津市河北区望海楼街道党群服务中心(综合便民服务中心)2024年一般公共预算支出3,431,408.00元，与2023年预算相比增加1,330,015.00元，主要原因是人员调入。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（二）具体情况。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1.“社会保障和就业支出（类）”3,193,087.00元，与2023年预算相比增加1,189,787.00元，主要原因是人员调入。其中：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　　“民政管理事务（款）”2,788,975.00元，包括：“基层政权建设和社区治理（项）”2,788,975.00元，主要用于人员工资、津贴补贴等发放。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　　“行政事业单位养老支出（款）”404,112.00元，包括：“事业单位离退休（项）”35,100.00元，主要用于离退休人员工资。“机关事业单位基本养老保险缴费支出（项）”246,008.00元，主要用于在职人员养老保险缴纳。“机关事业单位职业年金缴费支出（项）”123,004.00元，主要用于在职人员职业年金缴纳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　　2.“卫生健康支出（类）”238,321.00元，与2023年预算相比增加140,228.00元，主要原因是本年有人员调入。其中：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　　“行政事业单位医疗（款）”238,321.00元，包括：“事业单位医疗（项）”161,443.00元，主要用于在职人员医疗保险缴纳。“其他行政事业单位医疗支出（项）”76,878.00元，主要用于在职人员医疗费。</w:t>
      </w:r>
    </w:p>
    <w:p>
      <w:pPr>
        <w:spacing w:line="600" w:lineRule="exact"/>
        <w:rPr>
          <w:rFonts w:ascii="楷体" w:hAnsi="楷体" w:eastAsia="楷体" w:cs="仿宋_GB2312"/>
          <w:b/>
          <w:sz w:val="30"/>
          <w:szCs w:val="30"/>
        </w:rPr>
      </w:pP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bookmarkStart w:id="9" w:name="_Toc78784576"/>
      <w:r>
        <w:rPr>
          <w:rFonts w:ascii="黑体" w:hAnsi="黑体" w:eastAsia="黑体"/>
          <w:b w:val="0"/>
          <w:sz w:val="30"/>
          <w:szCs w:val="30"/>
        </w:rPr>
        <w:t>六、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一般公共预算基本支出情况</w:t>
      </w:r>
      <w:bookmarkEnd w:id="9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0" w:name="_Toc78784577"/>
      <w:r>
        <w:rPr>
          <w:rFonts w:hint="eastAsia" w:ascii="仿宋_GB2312" w:eastAsia="仿宋_GB2312"/>
          <w:sz w:val="30"/>
          <w:szCs w:val="30"/>
        </w:rPr>
        <w:t>天津市河北区望海楼街道党群服务中心(综合便民服务中心)一般公共预算基本支出3,431,408.00元，与2023年预算相比增加1,330,015.00元，主要原因是本年有人员调入。其中：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　　人员经费3,318,601.00元，主要包括：基本工资、津贴补贴、绩效工资、机关事业单位基本养老保险缴费、职业年金缴费、职工基本医疗保险缴费、其他社会保障缴费、住房公积金、医疗费、退休费。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　　公用经费112,807.00元，主要包括：工会经费、福利费、其他商品和服务支出。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2024年一般公共预算“三公”经费安排0.00元，与2023年预算相比增加（减少）0.00元，主要原因是本部门一般公共预算未安排“三公”经费。具体情况：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　　一、2024年因公出国（境）费预算0.00元，与2023年预算相比增加（减少）0.00元，主要原因是本部门一般公共预算未安排“因公出国（境）”费。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　　二、2024年公务用车购置及运行费预算0.00元，其中公务用车运行费0.00元，与2023年预算相比增加（减少）0.00元，主要原因是本部门一般公共预算未安排“公务用车运行”费；公务用车购置费0.00元，与2023年预算相比增加（减少）0.00元，主要原因是本部门一般公共预算未安排“公务用车购置”费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　　三、2024年公务接待费预算0.00元，与2023年预算相比增加（减少）0.00元，主要原因是本部门一般公共预算未安排“公务接待”费。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八</w:t>
      </w:r>
      <w:r>
        <w:rPr>
          <w:rFonts w:ascii="黑体" w:hAnsi="黑体" w:eastAsia="黑体"/>
          <w:b w:val="0"/>
          <w:sz w:val="30"/>
          <w:szCs w:val="30"/>
        </w:rPr>
        <w:t>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政府性基金预算</w:t>
      </w:r>
      <w:r>
        <w:rPr>
          <w:rFonts w:hint="eastAsia" w:ascii="黑体" w:hAnsi="黑体" w:eastAsia="黑体"/>
          <w:b w:val="0"/>
          <w:sz w:val="30"/>
          <w:szCs w:val="30"/>
        </w:rPr>
        <w:t>支出</w:t>
      </w:r>
      <w:r>
        <w:rPr>
          <w:rFonts w:ascii="黑体" w:hAnsi="黑体" w:eastAsia="黑体"/>
          <w:b w:val="0"/>
          <w:sz w:val="30"/>
          <w:szCs w:val="30"/>
        </w:rPr>
        <w:t>情况</w:t>
      </w:r>
      <w:bookmarkEnd w:id="10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2" w:firstLineChars="200"/>
        <w:rPr>
          <w:rFonts w:eastAsia="仿宋_GB2312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2024年天津市河北区望海楼街道党群服务中心(综合便民服务中心)预算中没有使用政府性基金预算安排的支出。</w:t>
      </w:r>
      <w:r>
        <w:rPr>
          <w:rFonts w:hint="eastAsia" w:ascii="楷体" w:hAnsi="楷体" w:eastAsia="楷体" w:cs="仿宋_GB2312"/>
          <w:b/>
          <w:sz w:val="30"/>
          <w:szCs w:val="30"/>
        </w:rPr>
        <w:t xml:space="preserve"> </w:t>
      </w:r>
      <w:bookmarkStart w:id="11" w:name="_Toc78784578"/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九、关于国有资本经营预算支出情况表</w:t>
      </w:r>
      <w:bookmarkEnd w:id="11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2" w:firstLineChars="200"/>
      </w:pPr>
      <w:r>
        <w:rPr>
          <w:rFonts w:hint="eastAsia" w:ascii="楷体" w:hAnsi="楷体" w:eastAsia="楷体" w:cs="仿宋_GB2312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2024年天津市河北区望海楼街道党群服务中心(综合便民服务中心)预算中没有使用国有资本经营预算预算安排的支出。</w:t>
      </w:r>
      <w:r>
        <w:rPr>
          <w:rFonts w:hint="eastAsia" w:ascii="楷体" w:hAnsi="楷体" w:eastAsia="楷体" w:cs="仿宋_GB2312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bookmarkStart w:id="12" w:name="_Toc78784579"/>
      <w:r>
        <w:rPr>
          <w:rFonts w:hint="eastAsia" w:ascii="黑体" w:hAnsi="黑体" w:eastAsia="黑体"/>
          <w:b w:val="0"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</w:t>
      </w:r>
      <w:r>
        <w:rPr>
          <w:rFonts w:ascii="楷体" w:hAnsi="楷体" w:eastAsia="楷体" w:cs="仿宋_GB2312"/>
          <w:b/>
          <w:sz w:val="30"/>
          <w:szCs w:val="30"/>
        </w:rPr>
        <w:t>机关运行经费</w:t>
      </w:r>
      <w:bookmarkEnd w:id="12"/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2024年未安排机关运行经费预算。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（二）政府采购情况。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2024年未安排政府采购预算。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（三）国有资产占用情况。</w:t>
      </w:r>
    </w:p>
    <w:p>
      <w:pPr>
        <w:spacing w:line="58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截至2023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（四）预算绩效情况说明。</w:t>
      </w:r>
    </w:p>
    <w:p>
      <w:pPr>
        <w:spacing w:line="58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  <w:sectPr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本部门2024年实行绩效目标管理的项目0个，涉及预算金额0.00元。</w:t>
      </w:r>
    </w:p>
    <w:p>
      <w:pPr>
        <w:spacing w:line="580" w:lineRule="exact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ascii="黑体" w:hAnsi="黑体" w:eastAsia="黑体" w:cs="黑体"/>
        </w:rPr>
      </w:pPr>
      <w:bookmarkStart w:id="13" w:name="_Toc78784585"/>
      <w:r>
        <w:rPr>
          <w:rFonts w:hint="eastAsia" w:ascii="黑体" w:hAnsi="黑体" w:eastAsia="黑体" w:cs="黑体"/>
        </w:rPr>
        <w:t>第三部分  名词解释</w:t>
      </w:r>
      <w:bookmarkEnd w:id="13"/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机关运行经费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hint="eastAsia" w:eastAsia="楷体_GB2312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hint="eastAsia" w:eastAsia="楷体_GB2312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第四部分  2024年部门预算表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一、《部门收支总体情况表》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二、《部门收入总体情况表》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三、《部门支出总体情况表》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四、《财政拨款收支总体情况表》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五、《一般公共预算支出情况表》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六、《一般公共预算基本支出情况表》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七、《一般公共预算“三公”经费支出情况表》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八、《政府性基金预算支出情况表》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九、《国有资本经营预算支出情况表》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十、《项目支出表》</w:t>
      </w:r>
    </w:p>
    <w:p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十一、关于空表的说明</w:t>
      </w:r>
      <w:r>
        <w:rPr>
          <w:rFonts w:hint="eastAsia" w:ascii="楷体_GB2312" w:eastAsia="楷体_GB2312"/>
          <w:b/>
          <w:sz w:val="30"/>
          <w:szCs w:val="30"/>
        </w:rPr>
        <w:tab/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1.“本单位（部门）2024年一般公共预算“三公”经费支出情况表为空表”。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2.“本单位（部门）2024年政府性基金预算支出情况表为空表”。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3.“本单位（部门）2024年国有资本经营预算支出情况表为空表”。</w:t>
      </w:r>
      <w:bookmarkStart w:id="14" w:name="_GoBack"/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4.“本单位（部门）2024年项目支出表为空表”。</w:t>
      </w:r>
    </w:p>
    <w:p>
      <w:pPr>
        <w:spacing w:line="560" w:lineRule="exact"/>
        <w:rPr>
          <w:rFonts w:eastAsia="楷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"/>
          <w:sz w:val="30"/>
          <w:szCs w:val="30"/>
        </w:rPr>
        <w:t>注：以上预算公开表均作为附表，附于预算公开说明文档后。</w:t>
      </w:r>
    </w:p>
    <w:sectPr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1YjE1OTI0ZjFiOGFhMWM4MWNjMzdkNjI3N2RmY2MifQ=="/>
  </w:docVars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5E8F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154E2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0E35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419DC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B9E444D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6467EC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EB86AFF"/>
    <w:rsid w:val="2F7962C5"/>
    <w:rsid w:val="309F56B8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59F7D1B"/>
    <w:rsid w:val="668D4017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  <w:rsid w:val="DEFFAB64"/>
    <w:rsid w:val="F51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link w:val="14"/>
    <w:autoRedefine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11">
    <w:name w:val="page number"/>
    <w:autoRedefine/>
    <w:qFormat/>
    <w:uiPriority w:val="0"/>
  </w:style>
  <w:style w:type="character" w:customStyle="1" w:styleId="12">
    <w:name w:val="标题 1 字符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3">
    <w:name w:val="标题 2 字符"/>
    <w:link w:val="3"/>
    <w:autoRedefine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4">
    <w:name w:val="批注框文本 字符"/>
    <w:link w:val="5"/>
    <w:autoRedefine/>
    <w:qFormat/>
    <w:uiPriority w:val="0"/>
    <w:rPr>
      <w:sz w:val="18"/>
      <w:szCs w:val="18"/>
    </w:rPr>
  </w:style>
  <w:style w:type="character" w:customStyle="1" w:styleId="15">
    <w:name w:val="页脚 字符"/>
    <w:link w:val="6"/>
    <w:autoRedefine/>
    <w:qFormat/>
    <w:uiPriority w:val="99"/>
    <w:rPr>
      <w:sz w:val="18"/>
      <w:szCs w:val="18"/>
    </w:rPr>
  </w:style>
  <w:style w:type="paragraph" w:customStyle="1" w:styleId="16">
    <w:name w:val="Char Char"/>
    <w:basedOn w:val="4"/>
    <w:autoRedefine/>
    <w:qFormat/>
    <w:uiPriority w:val="0"/>
    <w:pPr>
      <w:adjustRightInd/>
      <w:spacing w:line="240" w:lineRule="auto"/>
      <w:jc w:val="both"/>
      <w:textAlignment w:val="auto"/>
    </w:pPr>
  </w:style>
  <w:style w:type="paragraph" w:styleId="17">
    <w:name w:val="List Paragraph"/>
    <w:basedOn w:val="1"/>
    <w:autoRedefine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635</Words>
  <Characters>3622</Characters>
  <Lines>30</Lines>
  <Paragraphs>8</Paragraphs>
  <TotalTime>8</TotalTime>
  <ScaleCrop>false</ScaleCrop>
  <LinksUpToDate>false</LinksUpToDate>
  <CharactersWithSpaces>4249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2019-01-31T15:44:00Z</dcterms:created>
  <dc:creator>朱春礼</dc:creator>
  <cp:lastModifiedBy>asus</cp:lastModifiedBy>
  <cp:lastPrinted>2022-01-18T17:13:00Z</cp:lastPrinted>
  <dcterms:modified xsi:type="dcterms:W3CDTF">2024-04-02T01:34:00Z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