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94" w:rsidRPr="00B903FF" w:rsidRDefault="004B7A94" w:rsidP="004B7A94">
      <w:pPr>
        <w:spacing w:line="560" w:lineRule="exact"/>
        <w:ind w:firstLineChars="0" w:firstLine="0"/>
        <w:rPr>
          <w:rFonts w:ascii="仿宋_GB2312" w:eastAsia="仿宋_GB2312" w:hAnsi="黑体"/>
          <w:szCs w:val="32"/>
        </w:rPr>
      </w:pPr>
      <w:r w:rsidRPr="00B903FF">
        <w:rPr>
          <w:rFonts w:ascii="仿宋_GB2312" w:eastAsia="仿宋_GB2312" w:hAnsi="黑体" w:hint="eastAsia"/>
          <w:szCs w:val="32"/>
        </w:rPr>
        <w:t>附件3</w:t>
      </w:r>
    </w:p>
    <w:p w:rsidR="00A36A50" w:rsidRPr="004B7A94" w:rsidRDefault="00A36A50" w:rsidP="004B7A94">
      <w:pPr>
        <w:spacing w:line="560" w:lineRule="exact"/>
        <w:ind w:firstLineChars="0" w:firstLine="0"/>
        <w:rPr>
          <w:rFonts w:ascii="仿宋_GB2312" w:eastAsia="仿宋_GB2312"/>
          <w:szCs w:val="32"/>
        </w:rPr>
      </w:pPr>
    </w:p>
    <w:p w:rsidR="004B7A94" w:rsidRPr="009D7451" w:rsidRDefault="004B7A94" w:rsidP="00024073">
      <w:pPr>
        <w:spacing w:line="560" w:lineRule="exact"/>
        <w:ind w:firstLineChars="0" w:firstLine="0"/>
        <w:jc w:val="center"/>
        <w:rPr>
          <w:rFonts w:ascii="小标宋" w:eastAsia="小标宋" w:hAnsi="Calibri" w:cs="小标宋"/>
          <w:sz w:val="44"/>
          <w:szCs w:val="44"/>
        </w:rPr>
      </w:pPr>
      <w:r w:rsidRPr="009D7451">
        <w:rPr>
          <w:rFonts w:ascii="小标宋" w:eastAsia="小标宋" w:hAnsi="Calibri" w:cs="小标宋" w:hint="eastAsia"/>
          <w:sz w:val="44"/>
          <w:szCs w:val="44"/>
        </w:rPr>
        <w:t>河北区统计局</w:t>
      </w:r>
      <w:r w:rsidR="00907145" w:rsidRPr="009D7451">
        <w:rPr>
          <w:rFonts w:ascii="小标宋" w:eastAsia="小标宋" w:hAnsi="Calibri" w:cs="小标宋" w:hint="eastAsia"/>
          <w:sz w:val="44"/>
          <w:szCs w:val="44"/>
        </w:rPr>
        <w:t>人口</w:t>
      </w:r>
      <w:r w:rsidR="00325505" w:rsidRPr="009D7451">
        <w:rPr>
          <w:rFonts w:ascii="小标宋" w:eastAsia="小标宋" w:hAnsi="Calibri" w:cs="小标宋" w:hint="eastAsia"/>
          <w:sz w:val="44"/>
          <w:szCs w:val="44"/>
        </w:rPr>
        <w:t>变动抽样调查</w:t>
      </w:r>
    </w:p>
    <w:p w:rsidR="00907145" w:rsidRPr="009D7451" w:rsidRDefault="00325505" w:rsidP="00024073">
      <w:pPr>
        <w:spacing w:line="560" w:lineRule="exact"/>
        <w:ind w:firstLineChars="0" w:firstLine="0"/>
        <w:jc w:val="center"/>
        <w:rPr>
          <w:rFonts w:ascii="小标宋" w:eastAsia="小标宋" w:hAnsi="Calibri" w:cs="小标宋"/>
          <w:sz w:val="44"/>
          <w:szCs w:val="44"/>
        </w:rPr>
      </w:pPr>
      <w:r w:rsidRPr="009D7451">
        <w:rPr>
          <w:rFonts w:ascii="小标宋" w:eastAsia="小标宋" w:hAnsi="Calibri" w:cs="小标宋" w:hint="eastAsia"/>
          <w:sz w:val="44"/>
          <w:szCs w:val="44"/>
        </w:rPr>
        <w:t>报表</w:t>
      </w:r>
      <w:r w:rsidR="00907145" w:rsidRPr="009D7451">
        <w:rPr>
          <w:rFonts w:ascii="小标宋" w:eastAsia="小标宋" w:hAnsi="Calibri" w:cs="小标宋" w:hint="eastAsia"/>
          <w:sz w:val="44"/>
          <w:szCs w:val="44"/>
        </w:rPr>
        <w:t>数据质量控制办法</w:t>
      </w:r>
    </w:p>
    <w:p w:rsidR="00907145" w:rsidRDefault="00907145" w:rsidP="00024073">
      <w:pPr>
        <w:spacing w:line="560" w:lineRule="exact"/>
        <w:ind w:firstLine="560"/>
        <w:rPr>
          <w:rFonts w:ascii="宋体" w:hAnsi="宋体"/>
          <w:sz w:val="28"/>
          <w:szCs w:val="28"/>
        </w:rPr>
      </w:pPr>
    </w:p>
    <w:p w:rsidR="00907145" w:rsidRPr="00024073" w:rsidRDefault="00907145" w:rsidP="00024073">
      <w:pPr>
        <w:spacing w:line="560" w:lineRule="exact"/>
        <w:ind w:firstLine="640"/>
        <w:rPr>
          <w:rFonts w:ascii="黑体" w:eastAsia="黑体" w:hAnsi="黑体"/>
          <w:szCs w:val="32"/>
        </w:rPr>
      </w:pPr>
      <w:r w:rsidRPr="00024073">
        <w:rPr>
          <w:rFonts w:ascii="黑体" w:eastAsia="黑体" w:hAnsi="黑体" w:hint="eastAsia"/>
          <w:szCs w:val="32"/>
        </w:rPr>
        <w:t>一、指标概念</w:t>
      </w:r>
    </w:p>
    <w:p w:rsidR="006463BC" w:rsidRPr="00024073" w:rsidRDefault="006463BC" w:rsidP="00024073">
      <w:pPr>
        <w:spacing w:line="560" w:lineRule="exact"/>
        <w:ind w:firstLine="640"/>
        <w:rPr>
          <w:rFonts w:ascii="仿宋_GB2312" w:eastAsia="仿宋_GB2312" w:hAnsi="仿宋"/>
          <w:szCs w:val="32"/>
        </w:rPr>
      </w:pPr>
      <w:r w:rsidRPr="00024073">
        <w:rPr>
          <w:rFonts w:ascii="仿宋_GB2312" w:eastAsia="仿宋_GB2312" w:hAnsi="仿宋" w:hint="eastAsia"/>
          <w:szCs w:val="32"/>
        </w:rPr>
        <w:t>常住人口：指实际经常居住在某地区一定时间（半年以上,含半年）的人口。</w:t>
      </w:r>
    </w:p>
    <w:p w:rsidR="006463BC" w:rsidRPr="00024073" w:rsidRDefault="00A0177B" w:rsidP="00024073">
      <w:pPr>
        <w:spacing w:line="560" w:lineRule="exact"/>
        <w:ind w:firstLine="640"/>
        <w:rPr>
          <w:rFonts w:ascii="仿宋_GB2312" w:eastAsia="仿宋_GB2312" w:hAnsi="仿宋"/>
          <w:szCs w:val="32"/>
        </w:rPr>
      </w:pPr>
      <w:r w:rsidRPr="00024073">
        <w:rPr>
          <w:rFonts w:ascii="仿宋_GB2312" w:eastAsia="仿宋_GB2312" w:hAnsi="仿宋" w:hint="eastAsia"/>
          <w:szCs w:val="32"/>
        </w:rPr>
        <w:t>外来人口：</w:t>
      </w:r>
      <w:r w:rsidR="00DD3880" w:rsidRPr="00024073">
        <w:rPr>
          <w:rFonts w:ascii="仿宋_GB2312" w:eastAsia="仿宋_GB2312" w:hAnsi="仿宋" w:hint="eastAsia"/>
          <w:szCs w:val="32"/>
        </w:rPr>
        <w:t>指现住地与户口登记地不一致的人，即现居住在某地区半年以上但其户口登记在外省市的人口。</w:t>
      </w:r>
    </w:p>
    <w:p w:rsidR="00DD3880" w:rsidRPr="00024073" w:rsidRDefault="00DD3880"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出生率：指在一定时期内（通常为一年）一</w:t>
      </w:r>
      <w:r w:rsidR="00CD6945">
        <w:rPr>
          <w:rFonts w:ascii="仿宋_GB2312" w:eastAsia="仿宋_GB2312" w:hAnsi="宋体" w:hint="eastAsia"/>
          <w:szCs w:val="32"/>
        </w:rPr>
        <w:t>个</w:t>
      </w:r>
      <w:r w:rsidRPr="00024073">
        <w:rPr>
          <w:rFonts w:ascii="仿宋_GB2312" w:eastAsia="仿宋_GB2312" w:hAnsi="宋体" w:hint="eastAsia"/>
          <w:szCs w:val="32"/>
        </w:rPr>
        <w:t>地区的出生人数与同期内平均人数（或期中人数）之比，用千分率表示。</w:t>
      </w:r>
    </w:p>
    <w:p w:rsidR="006463BC" w:rsidRPr="00024073" w:rsidRDefault="00DD3880" w:rsidP="00024073">
      <w:pPr>
        <w:spacing w:line="560" w:lineRule="exact"/>
        <w:ind w:firstLine="640"/>
        <w:rPr>
          <w:rFonts w:ascii="仿宋_GB2312" w:eastAsia="仿宋_GB2312" w:hAnsi="仿宋"/>
          <w:szCs w:val="32"/>
        </w:rPr>
      </w:pPr>
      <w:r w:rsidRPr="00024073">
        <w:rPr>
          <w:rFonts w:ascii="仿宋_GB2312" w:eastAsia="仿宋_GB2312" w:hAnsi="仿宋" w:hint="eastAsia"/>
          <w:szCs w:val="32"/>
        </w:rPr>
        <w:t>死亡率：</w:t>
      </w:r>
      <w:r w:rsidRPr="00024073">
        <w:rPr>
          <w:rFonts w:ascii="仿宋_GB2312" w:eastAsia="仿宋_GB2312" w:hAnsi="宋体" w:hint="eastAsia"/>
          <w:szCs w:val="32"/>
        </w:rPr>
        <w:t>指在一定时期内（通常为一年）一</w:t>
      </w:r>
      <w:r w:rsidR="00CD6945">
        <w:rPr>
          <w:rFonts w:ascii="仿宋_GB2312" w:eastAsia="仿宋_GB2312" w:hAnsi="宋体" w:hint="eastAsia"/>
          <w:szCs w:val="32"/>
        </w:rPr>
        <w:t>个</w:t>
      </w:r>
      <w:r w:rsidRPr="00024073">
        <w:rPr>
          <w:rFonts w:ascii="仿宋_GB2312" w:eastAsia="仿宋_GB2312" w:hAnsi="宋体" w:hint="eastAsia"/>
          <w:szCs w:val="32"/>
        </w:rPr>
        <w:t>地区的死亡人数与同期内平均人数（或期中人数）之比，用千分率表示。</w:t>
      </w:r>
    </w:p>
    <w:p w:rsidR="00907145" w:rsidRPr="00024073" w:rsidRDefault="00907145" w:rsidP="00024073">
      <w:pPr>
        <w:ind w:firstLine="640"/>
        <w:rPr>
          <w:rFonts w:ascii="黑体" w:eastAsia="黑体" w:hAnsi="黑体"/>
          <w:szCs w:val="32"/>
        </w:rPr>
      </w:pPr>
      <w:r w:rsidRPr="00024073">
        <w:rPr>
          <w:rFonts w:ascii="黑体" w:eastAsia="黑体" w:hAnsi="黑体" w:hint="eastAsia"/>
          <w:szCs w:val="32"/>
        </w:rPr>
        <w:t>二、计算的方法</w:t>
      </w:r>
    </w:p>
    <w:p w:rsidR="00907145" w:rsidRPr="00024073" w:rsidRDefault="00DF4357" w:rsidP="00024073">
      <w:pPr>
        <w:ind w:firstLine="640"/>
        <w:rPr>
          <w:rFonts w:ascii="仿宋_GB2312" w:eastAsia="仿宋_GB2312" w:hAnsi="宋体"/>
          <w:szCs w:val="32"/>
        </w:rPr>
      </w:pPr>
      <m:oMath>
        <m:r>
          <m:rPr>
            <m:sty m:val="p"/>
          </m:rPr>
          <w:rPr>
            <w:rFonts w:ascii="仿宋_GB2312" w:eastAsia="仿宋_GB2312" w:hAnsi="Cambria Math" w:cs="Cambria Math" w:hint="eastAsia"/>
            <w:szCs w:val="32"/>
          </w:rPr>
          <m:t>人口出生率</m:t>
        </m:r>
        <m:r>
          <m:rPr>
            <m:sty m:val="p"/>
          </m:rPr>
          <w:rPr>
            <w:rFonts w:ascii="Cambria Math" w:eastAsia="仿宋_GB2312" w:hAnsi="Cambria Math" w:cs="Cambria Math" w:hint="eastAsia"/>
            <w:szCs w:val="32"/>
          </w:rPr>
          <m:t>=</m:t>
        </m:r>
        <m:f>
          <m:fPr>
            <m:ctrlPr>
              <w:rPr>
                <w:rFonts w:ascii="Cambria Math" w:eastAsia="仿宋_GB2312" w:hAnsi="Cambria Math" w:hint="eastAsia"/>
                <w:szCs w:val="32"/>
              </w:rPr>
            </m:ctrlPr>
          </m:fPr>
          <m:num>
            <m:r>
              <m:rPr>
                <m:sty m:val="p"/>
              </m:rPr>
              <w:rPr>
                <w:rFonts w:ascii="仿宋_GB2312" w:eastAsia="仿宋_GB2312" w:hAnsi="Cambria Math" w:cs="Cambria Math" w:hint="eastAsia"/>
                <w:szCs w:val="32"/>
              </w:rPr>
              <m:t>年内出生人数</m:t>
            </m:r>
          </m:num>
          <m:den>
            <m:r>
              <m:rPr>
                <m:sty m:val="p"/>
              </m:rPr>
              <w:rPr>
                <w:rFonts w:ascii="仿宋_GB2312" w:eastAsia="仿宋_GB2312" w:hAnsi="Cambria Math" w:cs="Cambria Math" w:hint="eastAsia"/>
                <w:szCs w:val="32"/>
              </w:rPr>
              <m:t>年平均人数</m:t>
            </m:r>
          </m:den>
        </m:f>
      </m:oMath>
      <w:r w:rsidRPr="00024073">
        <w:rPr>
          <w:rFonts w:ascii="仿宋_GB2312" w:eastAsia="仿宋_GB2312" w:hAnsi="宋体" w:hint="eastAsia"/>
          <w:szCs w:val="32"/>
        </w:rPr>
        <w:t>*‰</w:t>
      </w:r>
    </w:p>
    <w:p w:rsidR="00DD3880" w:rsidRPr="00024073" w:rsidRDefault="00DD3880" w:rsidP="00024073">
      <w:pPr>
        <w:ind w:firstLine="640"/>
        <w:rPr>
          <w:rFonts w:ascii="仿宋_GB2312" w:eastAsia="仿宋_GB2312" w:hAnsi="宋体"/>
          <w:szCs w:val="32"/>
        </w:rPr>
      </w:pPr>
      <m:oMath>
        <m:r>
          <m:rPr>
            <m:sty m:val="p"/>
          </m:rPr>
          <w:rPr>
            <w:rFonts w:ascii="仿宋_GB2312" w:eastAsia="仿宋_GB2312" w:hAnsi="Cambria Math" w:cs="Cambria Math" w:hint="eastAsia"/>
            <w:szCs w:val="32"/>
          </w:rPr>
          <m:t>人口死亡率</m:t>
        </m:r>
        <m:r>
          <m:rPr>
            <m:sty m:val="p"/>
          </m:rPr>
          <w:rPr>
            <w:rFonts w:ascii="Cambria Math" w:eastAsia="仿宋_GB2312" w:hAnsi="Cambria Math" w:cs="Cambria Math" w:hint="eastAsia"/>
            <w:szCs w:val="32"/>
          </w:rPr>
          <m:t>=</m:t>
        </m:r>
        <m:f>
          <m:fPr>
            <m:ctrlPr>
              <w:rPr>
                <w:rFonts w:ascii="Cambria Math" w:eastAsia="仿宋_GB2312" w:hAnsi="Cambria Math" w:hint="eastAsia"/>
                <w:szCs w:val="32"/>
              </w:rPr>
            </m:ctrlPr>
          </m:fPr>
          <m:num>
            <m:r>
              <m:rPr>
                <m:sty m:val="p"/>
              </m:rPr>
              <w:rPr>
                <w:rFonts w:ascii="仿宋_GB2312" w:eastAsia="仿宋_GB2312" w:hAnsi="Cambria Math" w:cs="Cambria Math" w:hint="eastAsia"/>
                <w:szCs w:val="32"/>
              </w:rPr>
              <m:t>年内死亡人数</m:t>
            </m:r>
          </m:num>
          <m:den>
            <m:r>
              <m:rPr>
                <m:sty m:val="p"/>
              </m:rPr>
              <w:rPr>
                <w:rFonts w:ascii="仿宋_GB2312" w:eastAsia="仿宋_GB2312" w:hAnsi="Cambria Math" w:cs="Cambria Math" w:hint="eastAsia"/>
                <w:szCs w:val="32"/>
              </w:rPr>
              <m:t>年平均人数</m:t>
            </m:r>
          </m:den>
        </m:f>
      </m:oMath>
      <w:r w:rsidRPr="00024073">
        <w:rPr>
          <w:rFonts w:ascii="仿宋_GB2312" w:eastAsia="仿宋_GB2312" w:hAnsi="宋体" w:hint="eastAsia"/>
          <w:szCs w:val="32"/>
        </w:rPr>
        <w:t>*‰</w:t>
      </w:r>
    </w:p>
    <w:p w:rsidR="00907145" w:rsidRPr="00024073" w:rsidRDefault="00907145" w:rsidP="00024073">
      <w:pPr>
        <w:ind w:firstLine="640"/>
        <w:rPr>
          <w:rFonts w:ascii="黑体" w:eastAsia="黑体" w:hAnsi="黑体"/>
          <w:szCs w:val="32"/>
        </w:rPr>
      </w:pPr>
      <w:r w:rsidRPr="00024073">
        <w:rPr>
          <w:rFonts w:ascii="黑体" w:eastAsia="黑体" w:hAnsi="黑体" w:hint="eastAsia"/>
          <w:szCs w:val="32"/>
        </w:rPr>
        <w:t>三、资料来源</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年度的人口变动抽样调查数据。</w:t>
      </w:r>
    </w:p>
    <w:p w:rsidR="00907145" w:rsidRPr="00024073" w:rsidRDefault="00907145" w:rsidP="00024073">
      <w:pPr>
        <w:spacing w:line="560" w:lineRule="exact"/>
        <w:ind w:firstLine="640"/>
        <w:rPr>
          <w:rFonts w:ascii="黑体" w:eastAsia="黑体" w:hAnsi="黑体"/>
          <w:szCs w:val="32"/>
        </w:rPr>
      </w:pPr>
      <w:r w:rsidRPr="00024073">
        <w:rPr>
          <w:rFonts w:ascii="黑体" w:eastAsia="黑体" w:hAnsi="黑体" w:hint="eastAsia"/>
          <w:szCs w:val="32"/>
        </w:rPr>
        <w:t>四、数据质量控制措施</w:t>
      </w:r>
    </w:p>
    <w:p w:rsidR="00907145" w:rsidRPr="00024073" w:rsidRDefault="00907145" w:rsidP="00024073">
      <w:pPr>
        <w:spacing w:line="560" w:lineRule="exact"/>
        <w:ind w:firstLine="640"/>
        <w:rPr>
          <w:rFonts w:ascii="楷体_GB2312" w:eastAsia="楷体_GB2312" w:hAnsi="宋体"/>
          <w:szCs w:val="32"/>
        </w:rPr>
      </w:pPr>
      <w:r w:rsidRPr="00024073">
        <w:rPr>
          <w:rFonts w:ascii="楷体_GB2312" w:eastAsia="楷体_GB2312" w:hAnsi="宋体" w:hint="eastAsia"/>
          <w:szCs w:val="32"/>
        </w:rPr>
        <w:t>（一）方法设计</w:t>
      </w:r>
    </w:p>
    <w:p w:rsidR="00DD3880"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lastRenderedPageBreak/>
        <w:t>人口变动情况抽样调查样本在2010年人口普查建立的样本框中，按照年度样本轮换原则进行抽取。</w:t>
      </w:r>
      <w:r w:rsidR="00DD3880" w:rsidRPr="00024073">
        <w:rPr>
          <w:rFonts w:ascii="仿宋_GB2312" w:eastAsia="仿宋_GB2312" w:hAnsi="宋体" w:hint="eastAsia"/>
          <w:szCs w:val="32"/>
        </w:rPr>
        <w:t>样本核实由抽中小区调查员对抽中的调查小区进行核实。</w:t>
      </w:r>
    </w:p>
    <w:p w:rsidR="00907145" w:rsidRPr="00024073" w:rsidRDefault="00907145" w:rsidP="00024073">
      <w:pPr>
        <w:spacing w:line="560" w:lineRule="exact"/>
        <w:ind w:firstLine="640"/>
        <w:rPr>
          <w:rFonts w:ascii="楷体_GB2312" w:eastAsia="楷体_GB2312" w:hAnsi="宋体"/>
          <w:szCs w:val="32"/>
        </w:rPr>
      </w:pPr>
      <w:r w:rsidRPr="00024073">
        <w:rPr>
          <w:rFonts w:ascii="楷体_GB2312" w:eastAsia="楷体_GB2312" w:hAnsi="宋体" w:hint="eastAsia"/>
          <w:szCs w:val="32"/>
        </w:rPr>
        <w:t>（二）数据采集</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 xml:space="preserve">　1．调查摸底阶段</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（1）检查调查员是否严格按照规定的调查小区界线范围开展工作。绘制的《小区图》是否符合要求，特别要检查调查小区的边界在《小区图》上是否有明确的标注，调查小区内的建筑物是否有遗漏。</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（2）检查调查员是否对调查小区地域内的所有建筑物和调查户进行摸底，核对户主姓名底册中是否有建筑物和住户遗漏。</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3）核实空房情况。对照《户主姓名底册》，通过村（居）委会、邻居、物业或房管、户籍部门，了解确认空房是否为无人居住且无户口寄挂。对《户主姓名底册》上注明的空房，实际查到有人居住或有户口寄挂的情况，要求调查员对《户主姓名底册》进行修正，并在调查登记阶段认真进行登记。</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4）核对《户主姓名底册》项目。应通过向户籍部门了解情况、召开熟悉当地情况居民的座谈会等各种形式，核对调查小区的户数、人数、一年中出生和死亡人数、外来人口和外出人口等情况。向医疗卫生部门了解一年中出生的活产婴儿（包括活产后不久即死亡的婴儿），向熟悉当地情况的</w:t>
      </w:r>
      <w:r w:rsidR="00CD6945">
        <w:rPr>
          <w:rFonts w:ascii="仿宋_GB2312" w:eastAsia="仿宋_GB2312" w:hAnsi="宋体" w:hint="eastAsia"/>
          <w:szCs w:val="32"/>
        </w:rPr>
        <w:t>社区居委会及</w:t>
      </w:r>
      <w:r w:rsidRPr="00024073">
        <w:rPr>
          <w:rFonts w:ascii="仿宋_GB2312" w:eastAsia="仿宋_GB2312" w:hAnsi="宋体" w:hint="eastAsia"/>
          <w:szCs w:val="32"/>
        </w:rPr>
        <w:t>居民了解“孤老户”的死亡及全户死亡的情况。</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lastRenderedPageBreak/>
        <w:t>（5）核对户编号的填写是否正确</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核对调查小区的“户编号”是否按连续升序编号。</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核对全户外出半年以上、全户寄挂户口的户，是否从601开始连续升序编号，全户死亡的户，户编号是否从901开始升序编号。</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出租房屋的户，户口未迁走的，</w:t>
      </w:r>
      <w:r w:rsidR="00CD6945">
        <w:rPr>
          <w:rFonts w:ascii="仿宋_GB2312" w:eastAsia="仿宋_GB2312" w:hAnsi="宋体" w:hint="eastAsia"/>
          <w:szCs w:val="32"/>
        </w:rPr>
        <w:t>是</w:t>
      </w:r>
      <w:r w:rsidRPr="00024073">
        <w:rPr>
          <w:rFonts w:ascii="仿宋_GB2312" w:eastAsia="仿宋_GB2312" w:hAnsi="宋体" w:hint="eastAsia"/>
          <w:szCs w:val="32"/>
        </w:rPr>
        <w:t>否按两户分别登记。</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（6）加强对重点指标的质量控制</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出生率的质量控制，重点与计生部门、民政部门及妇幼保健中心等部门沟通，掌握一年来的出生情况资料。</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死亡率的质量控制，重点与殡葬部门进行沟通，掌握一年来的死亡情况资料。</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2．调查入户登记阶段</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质量控制人员要了解掌握调查员的登记进度，防止只求登记的数量而忽略登记质量的情况。要重点防止调查登记不入户、不认真询问照抄户口资料以及只登记本调查小区有户籍的人而对外来人口不登记等情况的发生。</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3．编码阶段</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1）对非专项编码，质量控制人员要检查调查员的编码质量，发现问题，应要求调查员核对并据实更正，对差错较多的有权要求其返工重编。在检查时，除检查编写的数字代码是否与项目圈定的标准答案或填写的数字一致外，还要注意有无漏编的项目。</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（2）对专项编码，质量控制人员要检查调查项目地址编码、民族编码是否正确，不正确的责成编码员改正。</w:t>
      </w:r>
    </w:p>
    <w:p w:rsidR="00907145" w:rsidRPr="00024073" w:rsidRDefault="00907145" w:rsidP="00024073">
      <w:pPr>
        <w:spacing w:line="560" w:lineRule="exact"/>
        <w:ind w:firstLine="640"/>
        <w:rPr>
          <w:rFonts w:ascii="楷体_GB2312" w:eastAsia="楷体_GB2312" w:hAnsi="宋体"/>
          <w:szCs w:val="32"/>
        </w:rPr>
      </w:pPr>
      <w:r w:rsidRPr="00024073">
        <w:rPr>
          <w:rFonts w:ascii="楷体_GB2312" w:eastAsia="楷体_GB2312" w:hAnsi="宋体" w:hint="eastAsia"/>
          <w:szCs w:val="32"/>
        </w:rPr>
        <w:lastRenderedPageBreak/>
        <w:t>（三）数据审核</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1</w:t>
      </w:r>
      <w:r w:rsidR="00DD3880" w:rsidRPr="00024073">
        <w:rPr>
          <w:rFonts w:ascii="仿宋_GB2312" w:eastAsia="仿宋_GB2312" w:hAnsi="宋体" w:hint="eastAsia"/>
          <w:szCs w:val="32"/>
        </w:rPr>
        <w:t>．数据议查</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调查员在完成入户登记与初审工作后，区普查中心要及时组织居（村）委会、物业管理等部门的知情人召开议查会议，共同检查所调查范围是否完整，应调查的户与人有无遗漏或重复，并应重点关注出生人口、死亡人口、外来人口、户籍外出人口、出租户等项目的填写情况。</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2</w:t>
      </w:r>
      <w:r w:rsidR="00DD3880" w:rsidRPr="00024073">
        <w:rPr>
          <w:rFonts w:ascii="仿宋_GB2312" w:eastAsia="仿宋_GB2312" w:hAnsi="宋体" w:hint="eastAsia"/>
          <w:szCs w:val="32"/>
        </w:rPr>
        <w:t>．数据复查</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复查是调查登记工作结束后，调查指导员要及时组织调查员对登记工作质量进行全面复查。包括自查和互查。要认真核实调查表的重点项目，还包括调查时点前一晚居住在本户人口；户口在本户，调查时点前一晚未居住在本户的人口；本户调查年度内的出生人口和死亡人口，避免重登、漏登；有年龄要求的项目，认真核实是否应该填报。</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3</w:t>
      </w:r>
      <w:r w:rsidR="00DD3880" w:rsidRPr="00024073">
        <w:rPr>
          <w:rFonts w:ascii="仿宋_GB2312" w:eastAsia="仿宋_GB2312" w:hAnsi="宋体" w:hint="eastAsia"/>
          <w:szCs w:val="32"/>
        </w:rPr>
        <w:t>．人工逻辑检查</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要按照“人工逻辑检查规则”检查调查员登记的调查表有无逻辑差错，有差错的，责成调查员核实，据实改正。对出现差错较多的调查员，经与调查指导员研究，有权要求该调查员重新入户登记，以杜绝源头数据出现差错。</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4．核对地址项是否完整准确。</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对调查表的地址项填写情况进行仔细检查，确保应该填写的地址完整准确。</w:t>
      </w:r>
    </w:p>
    <w:p w:rsidR="00907145" w:rsidRPr="00024073" w:rsidRDefault="00DD3880" w:rsidP="00024073">
      <w:pPr>
        <w:spacing w:line="560" w:lineRule="exact"/>
        <w:ind w:firstLine="640"/>
        <w:rPr>
          <w:rFonts w:ascii="楷体_GB2312" w:eastAsia="楷体_GB2312" w:hAnsi="宋体"/>
          <w:szCs w:val="32"/>
        </w:rPr>
      </w:pPr>
      <w:r w:rsidRPr="00024073">
        <w:rPr>
          <w:rFonts w:ascii="楷体_GB2312" w:eastAsia="楷体_GB2312" w:hAnsi="宋体" w:hint="eastAsia"/>
          <w:szCs w:val="32"/>
        </w:rPr>
        <w:t>（四</w:t>
      </w:r>
      <w:r w:rsidR="00907145" w:rsidRPr="00024073">
        <w:rPr>
          <w:rFonts w:ascii="楷体_GB2312" w:eastAsia="楷体_GB2312" w:hAnsi="宋体" w:hint="eastAsia"/>
          <w:szCs w:val="32"/>
        </w:rPr>
        <w:t>）数据评估</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为确保数据评估客观、准确，采取以下措施。</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lastRenderedPageBreak/>
        <w:t>1．调查样本稳定性。通过调查前样本核实工作，考核样本的稳定性和准确性。</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2．与行政记录进行比对。通过收集《社区表》，比对调查数据与行政记录的一致性。</w:t>
      </w:r>
    </w:p>
    <w:p w:rsidR="00907145" w:rsidRPr="00024073"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3．内部资料一致性检验。通过对比出生人口、户规模、城镇人口比重、0-14岁、15-64岁、65岁及以上三个年龄段常住人口结构等指标，评估数据合理性。</w:t>
      </w:r>
    </w:p>
    <w:p w:rsidR="00907145" w:rsidRDefault="00907145" w:rsidP="00024073">
      <w:pPr>
        <w:spacing w:line="560" w:lineRule="exact"/>
        <w:ind w:firstLine="640"/>
        <w:rPr>
          <w:rFonts w:ascii="仿宋_GB2312" w:eastAsia="仿宋_GB2312" w:hAnsi="宋体"/>
          <w:szCs w:val="32"/>
        </w:rPr>
      </w:pPr>
      <w:r w:rsidRPr="00024073">
        <w:rPr>
          <w:rFonts w:ascii="仿宋_GB2312" w:eastAsia="仿宋_GB2312" w:hAnsi="宋体" w:hint="eastAsia"/>
          <w:szCs w:val="32"/>
        </w:rPr>
        <w:t>4．外部资料匹配性检验。利用公安、计生的数据对出生人口调查数据结果进行趋势上的分析。</w:t>
      </w:r>
      <w:bookmarkStart w:id="0" w:name="_GoBack"/>
      <w:bookmarkEnd w:id="0"/>
    </w:p>
    <w:p w:rsidR="006E11E6" w:rsidRDefault="007E707F" w:rsidP="007E707F">
      <w:pPr>
        <w:spacing w:line="560" w:lineRule="exact"/>
        <w:ind w:firstLine="640"/>
        <w:rPr>
          <w:rFonts w:ascii="黑体" w:eastAsia="黑体" w:hAnsi="黑体"/>
          <w:szCs w:val="32"/>
        </w:rPr>
      </w:pPr>
      <w:r>
        <w:rPr>
          <w:rFonts w:ascii="黑体" w:eastAsia="黑体" w:hAnsi="黑体" w:hint="eastAsia"/>
          <w:szCs w:val="32"/>
        </w:rPr>
        <w:t>五</w:t>
      </w:r>
      <w:r w:rsidR="006E11E6" w:rsidRPr="006E11E6">
        <w:rPr>
          <w:rFonts w:ascii="黑体" w:eastAsia="黑体" w:hAnsi="黑体" w:hint="eastAsia"/>
          <w:szCs w:val="32"/>
        </w:rPr>
        <w:t>、人口数据质量审核要点</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（一）调查样本稳定性。通过调查前样本核实工作，考核样本的稳定性和准确性。</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（二）与行政记录进行比对。通过收集《社区表》，比对调查数据与行政记录的一致性。</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（三）内部资料一致性检验。通过对比出生人口、户规模、城镇人口比重、0-14岁、15-64岁、65岁及以上三个年龄段常住人口结构等指标，评估数据合理性。</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（四）外部资料匹配性检验。利用公安、计生的数据对出生人口调查数据结果进行趋势上的分析。</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（五）就业人口比重指标数据评估工作是在确保调查样本稳定性和准确性的基础上进行的。</w:t>
      </w:r>
    </w:p>
    <w:p w:rsidR="006E11E6" w:rsidRDefault="006E11E6" w:rsidP="006E11E6">
      <w:pPr>
        <w:spacing w:line="560" w:lineRule="exact"/>
        <w:ind w:firstLine="640"/>
        <w:rPr>
          <w:rFonts w:ascii="仿宋_GB2312" w:eastAsia="仿宋_GB2312"/>
          <w:szCs w:val="32"/>
        </w:rPr>
      </w:pPr>
      <w:r>
        <w:rPr>
          <w:rFonts w:ascii="仿宋_GB2312" w:eastAsia="仿宋_GB2312" w:hint="eastAsia"/>
          <w:szCs w:val="32"/>
        </w:rPr>
        <w:t>1.</w:t>
      </w:r>
      <w:r w:rsidRPr="009A7BAA">
        <w:rPr>
          <w:rFonts w:ascii="仿宋_GB2312" w:eastAsia="仿宋_GB2312" w:hint="eastAsia"/>
          <w:szCs w:val="32"/>
        </w:rPr>
        <w:t>加权汇总。通过人口比例、年龄结构、城乡构成、性别结构等权数对调查数据进行综合加权</w:t>
      </w:r>
      <w:r>
        <w:rPr>
          <w:rFonts w:ascii="仿宋_GB2312" w:eastAsia="仿宋_GB2312" w:hint="eastAsia"/>
          <w:szCs w:val="32"/>
        </w:rPr>
        <w:t>。</w:t>
      </w:r>
    </w:p>
    <w:p w:rsidR="006E11E6" w:rsidRDefault="006E11E6" w:rsidP="006E11E6">
      <w:pPr>
        <w:spacing w:line="560" w:lineRule="exact"/>
        <w:ind w:firstLine="640"/>
        <w:rPr>
          <w:rFonts w:ascii="仿宋_GB2312" w:eastAsia="仿宋_GB2312"/>
          <w:szCs w:val="32"/>
        </w:rPr>
      </w:pPr>
      <w:r>
        <w:rPr>
          <w:rFonts w:ascii="仿宋_GB2312" w:eastAsia="仿宋_GB2312" w:hint="eastAsia"/>
          <w:szCs w:val="32"/>
        </w:rPr>
        <w:t>2.</w:t>
      </w:r>
      <w:r w:rsidRPr="009A7BAA">
        <w:rPr>
          <w:rFonts w:ascii="仿宋_GB2312" w:eastAsia="仿宋_GB2312" w:hint="eastAsia"/>
          <w:szCs w:val="32"/>
        </w:rPr>
        <w:t>比率估计。在确定全市就业人口比重时，考虑抽样误</w:t>
      </w:r>
      <w:r w:rsidRPr="009A7BAA">
        <w:rPr>
          <w:rFonts w:ascii="仿宋_GB2312" w:eastAsia="仿宋_GB2312" w:hint="eastAsia"/>
          <w:szCs w:val="32"/>
        </w:rPr>
        <w:lastRenderedPageBreak/>
        <w:t>差和事后质量抽查误差</w:t>
      </w:r>
      <w:r>
        <w:rPr>
          <w:rFonts w:ascii="仿宋_GB2312" w:eastAsia="仿宋_GB2312" w:hint="eastAsia"/>
          <w:szCs w:val="32"/>
        </w:rPr>
        <w:t>。</w:t>
      </w:r>
    </w:p>
    <w:p w:rsidR="006E11E6" w:rsidRDefault="006E11E6" w:rsidP="006E11E6">
      <w:pPr>
        <w:spacing w:line="560" w:lineRule="exact"/>
        <w:ind w:firstLine="640"/>
        <w:rPr>
          <w:rFonts w:ascii="仿宋_GB2312" w:eastAsia="仿宋_GB2312"/>
          <w:szCs w:val="32"/>
        </w:rPr>
      </w:pPr>
      <w:r>
        <w:rPr>
          <w:rFonts w:ascii="仿宋_GB2312" w:eastAsia="仿宋_GB2312" w:hint="eastAsia"/>
          <w:szCs w:val="32"/>
        </w:rPr>
        <w:t>3.</w:t>
      </w:r>
      <w:r w:rsidRPr="009A7BAA">
        <w:rPr>
          <w:rFonts w:ascii="仿宋_GB2312" w:eastAsia="仿宋_GB2312" w:hint="eastAsia"/>
          <w:szCs w:val="32"/>
        </w:rPr>
        <w:t>就业人口比重=抽样就业人口比重+抽样误差+</w:t>
      </w:r>
      <w:r>
        <w:rPr>
          <w:rFonts w:ascii="仿宋_GB2312" w:eastAsia="仿宋_GB2312" w:hint="eastAsia"/>
          <w:szCs w:val="32"/>
        </w:rPr>
        <w:t>事后质量抽样误差。</w:t>
      </w:r>
    </w:p>
    <w:p w:rsidR="006E11E6" w:rsidRPr="007E707F" w:rsidRDefault="006E11E6" w:rsidP="006E11E6">
      <w:pPr>
        <w:spacing w:line="560" w:lineRule="exact"/>
        <w:ind w:firstLine="640"/>
        <w:rPr>
          <w:rFonts w:ascii="楷体_GB2312" w:eastAsia="楷体_GB2312"/>
          <w:szCs w:val="32"/>
        </w:rPr>
      </w:pPr>
      <w:r w:rsidRPr="007E707F">
        <w:rPr>
          <w:rFonts w:ascii="楷体_GB2312" w:eastAsia="楷体_GB2312" w:hint="eastAsia"/>
          <w:szCs w:val="32"/>
        </w:rPr>
        <w:t>（六）就业人口比重根据劳动力调查数据，采用加权汇总、比率估计、推算总体的方法进行推算。</w:t>
      </w:r>
    </w:p>
    <w:p w:rsidR="006E11E6" w:rsidRDefault="006E11E6" w:rsidP="006E11E6">
      <w:pPr>
        <w:spacing w:line="560" w:lineRule="exact"/>
        <w:ind w:firstLine="640"/>
        <w:rPr>
          <w:rFonts w:ascii="仿宋_GB2312" w:eastAsia="仿宋_GB2312"/>
          <w:szCs w:val="32"/>
        </w:rPr>
      </w:pPr>
      <w:r>
        <w:rPr>
          <w:rFonts w:ascii="仿宋_GB2312" w:eastAsia="仿宋_GB2312" w:hint="eastAsia"/>
          <w:szCs w:val="32"/>
        </w:rPr>
        <w:t>1.</w:t>
      </w:r>
      <w:r w:rsidRPr="009A7BAA">
        <w:rPr>
          <w:rFonts w:ascii="仿宋_GB2312" w:eastAsia="仿宋_GB2312" w:hint="eastAsia"/>
          <w:szCs w:val="32"/>
        </w:rPr>
        <w:t>与行政记录进行比对。通过收集《社区居委会（村委会）失业登记情况》，比对调查数据与行政记录的一致性</w:t>
      </w:r>
      <w:r>
        <w:rPr>
          <w:rFonts w:ascii="仿宋_GB2312" w:eastAsia="仿宋_GB2312" w:hint="eastAsia"/>
          <w:szCs w:val="32"/>
        </w:rPr>
        <w:t>。</w:t>
      </w:r>
    </w:p>
    <w:p w:rsidR="006E11E6" w:rsidRDefault="006E11E6" w:rsidP="006E11E6">
      <w:pPr>
        <w:spacing w:line="560" w:lineRule="exact"/>
        <w:ind w:firstLine="640"/>
        <w:rPr>
          <w:rFonts w:ascii="仿宋_GB2312" w:eastAsia="仿宋_GB2312"/>
          <w:szCs w:val="32"/>
        </w:rPr>
      </w:pPr>
      <w:r>
        <w:rPr>
          <w:rFonts w:ascii="仿宋_GB2312" w:eastAsia="仿宋_GB2312" w:hint="eastAsia"/>
          <w:szCs w:val="32"/>
        </w:rPr>
        <w:t>2.</w:t>
      </w:r>
      <w:r w:rsidRPr="009A7BAA">
        <w:rPr>
          <w:rFonts w:ascii="仿宋_GB2312" w:eastAsia="仿宋_GB2312" w:hint="eastAsia"/>
          <w:szCs w:val="32"/>
        </w:rPr>
        <w:t>内部资料一致性检验。通过对比调查中劳动力资源结构、经济活动人口参与率、就业人口、失业率等指标，评估数据合理性</w:t>
      </w:r>
      <w:r>
        <w:rPr>
          <w:rFonts w:ascii="仿宋_GB2312" w:eastAsia="仿宋_GB2312" w:hint="eastAsia"/>
          <w:szCs w:val="32"/>
        </w:rPr>
        <w:t>。</w:t>
      </w:r>
    </w:p>
    <w:tbl>
      <w:tblPr>
        <w:tblpPr w:leftFromText="180" w:rightFromText="180" w:vertAnchor="page" w:horzAnchor="margin" w:tblpY="9916"/>
        <w:tblW w:w="5000" w:type="pct"/>
        <w:tblLook w:val="04A0"/>
      </w:tblPr>
      <w:tblGrid>
        <w:gridCol w:w="548"/>
        <w:gridCol w:w="659"/>
        <w:gridCol w:w="548"/>
        <w:gridCol w:w="880"/>
        <w:gridCol w:w="341"/>
        <w:gridCol w:w="331"/>
        <w:gridCol w:w="337"/>
        <w:gridCol w:w="335"/>
        <w:gridCol w:w="797"/>
        <w:gridCol w:w="1433"/>
        <w:gridCol w:w="1433"/>
        <w:gridCol w:w="880"/>
      </w:tblGrid>
      <w:tr w:rsidR="007E707F" w:rsidRPr="0069506F" w:rsidTr="007E707F">
        <w:trPr>
          <w:trHeight w:val="561"/>
        </w:trPr>
        <w:tc>
          <w:tcPr>
            <w:tcW w:w="5000" w:type="pct"/>
            <w:gridSpan w:val="12"/>
            <w:tcBorders>
              <w:top w:val="nil"/>
              <w:left w:val="nil"/>
              <w:bottom w:val="nil"/>
              <w:right w:val="nil"/>
            </w:tcBorders>
            <w:shd w:val="clear" w:color="auto" w:fill="auto"/>
            <w:noWrap/>
            <w:vAlign w:val="center"/>
            <w:hideMark/>
          </w:tcPr>
          <w:p w:rsidR="007E707F" w:rsidRPr="0069506F" w:rsidRDefault="007E707F" w:rsidP="007E707F">
            <w:pPr>
              <w:widowControl/>
              <w:ind w:firstLine="562"/>
              <w:jc w:val="center"/>
              <w:rPr>
                <w:rFonts w:ascii="仿宋" w:hAnsi="仿宋" w:cs="宋体"/>
                <w:b/>
                <w:bCs/>
                <w:color w:val="000000"/>
                <w:kern w:val="0"/>
                <w:sz w:val="28"/>
                <w:szCs w:val="28"/>
              </w:rPr>
            </w:pPr>
            <w:r w:rsidRPr="0069506F">
              <w:rPr>
                <w:rFonts w:ascii="仿宋" w:hAnsi="仿宋" w:cs="宋体" w:hint="eastAsia"/>
                <w:b/>
                <w:bCs/>
                <w:color w:val="000000"/>
                <w:kern w:val="0"/>
                <w:sz w:val="28"/>
                <w:szCs w:val="28"/>
              </w:rPr>
              <w:t>人口数据质量控制表</w:t>
            </w:r>
          </w:p>
        </w:tc>
      </w:tr>
      <w:tr w:rsidR="007E707F" w:rsidRPr="0069506F" w:rsidTr="007E707F">
        <w:trPr>
          <w:trHeight w:val="358"/>
        </w:trPr>
        <w:tc>
          <w:tcPr>
            <w:tcW w:w="515" w:type="pct"/>
            <w:tcBorders>
              <w:top w:val="nil"/>
              <w:left w:val="nil"/>
              <w:bottom w:val="nil"/>
              <w:right w:val="nil"/>
            </w:tcBorders>
            <w:shd w:val="clear" w:color="auto" w:fill="auto"/>
            <w:noWrap/>
            <w:vAlign w:val="center"/>
            <w:hideMark/>
          </w:tcPr>
          <w:p w:rsidR="007E707F" w:rsidRPr="0069506F" w:rsidRDefault="007E707F" w:rsidP="007E707F">
            <w:pPr>
              <w:widowControl/>
              <w:wordWrap w:val="0"/>
              <w:ind w:firstLine="400"/>
              <w:jc w:val="right"/>
              <w:rPr>
                <w:rFonts w:ascii="仿宋" w:hAnsi="仿宋" w:cs="宋体"/>
                <w:color w:val="000000"/>
                <w:kern w:val="0"/>
                <w:sz w:val="20"/>
                <w:szCs w:val="20"/>
              </w:rPr>
            </w:pPr>
            <w:r>
              <w:rPr>
                <w:rFonts w:ascii="仿宋" w:hAnsi="仿宋" w:cs="宋体" w:hint="eastAsia"/>
                <w:color w:val="000000"/>
                <w:kern w:val="0"/>
                <w:sz w:val="20"/>
                <w:szCs w:val="20"/>
              </w:rPr>
              <w:t xml:space="preserve">  </w:t>
            </w:r>
          </w:p>
        </w:tc>
        <w:tc>
          <w:tcPr>
            <w:tcW w:w="388" w:type="pct"/>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324" w:type="pct"/>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516" w:type="pct"/>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205" w:type="pct"/>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399" w:type="pct"/>
            <w:gridSpan w:val="2"/>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669" w:type="pct"/>
            <w:gridSpan w:val="2"/>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836" w:type="pct"/>
            <w:tcBorders>
              <w:top w:val="nil"/>
              <w:left w:val="nil"/>
              <w:bottom w:val="nil"/>
              <w:right w:val="nil"/>
            </w:tcBorders>
            <w:shd w:val="clear" w:color="auto" w:fill="auto"/>
            <w:noWrap/>
            <w:vAlign w:val="center"/>
            <w:hideMark/>
          </w:tcPr>
          <w:p w:rsidR="007E707F" w:rsidRPr="0069506F" w:rsidRDefault="007E707F" w:rsidP="007E707F">
            <w:pPr>
              <w:widowControl/>
              <w:ind w:firstLine="440"/>
              <w:jc w:val="left"/>
              <w:rPr>
                <w:rFonts w:ascii="宋体" w:eastAsia="宋体" w:hAnsi="宋体" w:cs="宋体"/>
                <w:color w:val="000000"/>
                <w:kern w:val="0"/>
                <w:sz w:val="22"/>
              </w:rPr>
            </w:pPr>
          </w:p>
        </w:tc>
        <w:tc>
          <w:tcPr>
            <w:tcW w:w="1148" w:type="pct"/>
            <w:gridSpan w:val="2"/>
            <w:tcBorders>
              <w:top w:val="nil"/>
              <w:left w:val="nil"/>
              <w:bottom w:val="nil"/>
              <w:right w:val="nil"/>
            </w:tcBorders>
            <w:shd w:val="clear" w:color="auto" w:fill="auto"/>
            <w:noWrap/>
            <w:vAlign w:val="center"/>
            <w:hideMark/>
          </w:tcPr>
          <w:p w:rsidR="007E707F" w:rsidRPr="0069506F" w:rsidRDefault="007E707F" w:rsidP="007E707F">
            <w:pPr>
              <w:widowControl/>
              <w:ind w:firstLineChars="0" w:firstLine="0"/>
              <w:jc w:val="right"/>
              <w:rPr>
                <w:rFonts w:ascii="宋体" w:eastAsia="宋体" w:hAnsi="宋体" w:cs="宋体"/>
                <w:color w:val="000000"/>
                <w:kern w:val="0"/>
                <w:sz w:val="16"/>
                <w:szCs w:val="16"/>
              </w:rPr>
            </w:pPr>
            <w:r w:rsidRPr="0069506F">
              <w:rPr>
                <w:rFonts w:ascii="宋体" w:eastAsia="宋体" w:hAnsi="宋体" w:cs="宋体" w:hint="eastAsia"/>
                <w:color w:val="000000"/>
                <w:kern w:val="0"/>
                <w:sz w:val="16"/>
                <w:szCs w:val="16"/>
              </w:rPr>
              <w:t>单位：人、%</w:t>
            </w:r>
          </w:p>
        </w:tc>
      </w:tr>
      <w:tr w:rsidR="007E707F" w:rsidRPr="0069506F" w:rsidTr="007E707F">
        <w:trPr>
          <w:trHeight w:val="345"/>
        </w:trPr>
        <w:tc>
          <w:tcPr>
            <w:tcW w:w="515"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仿宋" w:hAnsi="仿宋" w:cs="宋体"/>
                <w:color w:val="000000"/>
                <w:kern w:val="0"/>
                <w:sz w:val="20"/>
                <w:szCs w:val="16"/>
              </w:rPr>
            </w:pPr>
            <w:r w:rsidRPr="0069506F">
              <w:rPr>
                <w:rFonts w:ascii="仿宋" w:hAnsi="仿宋" w:cs="宋体" w:hint="eastAsia"/>
                <w:color w:val="000000"/>
                <w:kern w:val="0"/>
                <w:sz w:val="20"/>
                <w:szCs w:val="16"/>
              </w:rPr>
              <w:t>出生人口</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r w:rsidRPr="0069506F">
              <w:rPr>
                <w:rFonts w:ascii="仿宋" w:hAnsi="仿宋" w:cs="宋体" w:hint="eastAsia"/>
                <w:color w:val="000000"/>
                <w:kern w:val="0"/>
                <w:sz w:val="20"/>
                <w:szCs w:val="16"/>
              </w:rPr>
              <w:t>户规模</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仿宋" w:hAnsi="仿宋" w:cs="宋体"/>
                <w:color w:val="000000"/>
                <w:kern w:val="0"/>
                <w:sz w:val="20"/>
                <w:szCs w:val="16"/>
              </w:rPr>
            </w:pPr>
            <w:r w:rsidRPr="0069506F">
              <w:rPr>
                <w:rFonts w:ascii="仿宋" w:hAnsi="仿宋" w:cs="宋体" w:hint="eastAsia"/>
                <w:color w:val="000000"/>
                <w:kern w:val="0"/>
                <w:sz w:val="20"/>
                <w:szCs w:val="16"/>
              </w:rPr>
              <w:t>城镇人口比重</w:t>
            </w:r>
          </w:p>
        </w:tc>
        <w:tc>
          <w:tcPr>
            <w:tcW w:w="1273" w:type="pct"/>
            <w:gridSpan w:val="5"/>
            <w:tcBorders>
              <w:top w:val="single" w:sz="4" w:space="0" w:color="auto"/>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r w:rsidRPr="0069506F">
              <w:rPr>
                <w:rFonts w:ascii="仿宋" w:hAnsi="仿宋" w:cs="宋体" w:hint="eastAsia"/>
                <w:color w:val="000000"/>
                <w:kern w:val="0"/>
                <w:sz w:val="20"/>
                <w:szCs w:val="16"/>
              </w:rPr>
              <w:t>年龄结构</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仿宋" w:hAnsi="仿宋" w:cs="宋体"/>
                <w:color w:val="000000"/>
                <w:kern w:val="0"/>
                <w:sz w:val="20"/>
                <w:szCs w:val="16"/>
              </w:rPr>
            </w:pPr>
            <w:r w:rsidRPr="0069506F">
              <w:rPr>
                <w:rFonts w:ascii="仿宋" w:hAnsi="仿宋" w:cs="宋体" w:hint="eastAsia"/>
                <w:color w:val="000000"/>
                <w:kern w:val="0"/>
                <w:sz w:val="20"/>
                <w:szCs w:val="16"/>
              </w:rPr>
              <w:t>公安局出生人口调查数据</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仿宋" w:hAnsi="仿宋" w:cs="宋体"/>
                <w:color w:val="000000"/>
                <w:kern w:val="0"/>
                <w:sz w:val="20"/>
                <w:szCs w:val="16"/>
              </w:rPr>
            </w:pPr>
            <w:r w:rsidRPr="0069506F">
              <w:rPr>
                <w:rFonts w:ascii="仿宋" w:hAnsi="仿宋" w:cs="宋体" w:hint="eastAsia"/>
                <w:color w:val="000000"/>
                <w:kern w:val="0"/>
                <w:sz w:val="20"/>
                <w:szCs w:val="16"/>
              </w:rPr>
              <w:t>计生委出生人口调查数据</w:t>
            </w:r>
          </w:p>
        </w:tc>
        <w:tc>
          <w:tcPr>
            <w:tcW w:w="31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E707F" w:rsidRPr="0069506F" w:rsidRDefault="007E707F" w:rsidP="007E707F">
            <w:pPr>
              <w:widowControl/>
              <w:ind w:firstLineChars="0" w:firstLine="0"/>
              <w:rPr>
                <w:rFonts w:ascii="仿宋" w:hAnsi="仿宋" w:cs="宋体"/>
                <w:color w:val="000000"/>
                <w:kern w:val="0"/>
                <w:sz w:val="20"/>
                <w:szCs w:val="16"/>
              </w:rPr>
            </w:pPr>
            <w:r w:rsidRPr="0069506F">
              <w:rPr>
                <w:rFonts w:ascii="仿宋" w:hAnsi="仿宋" w:cs="宋体" w:hint="eastAsia"/>
                <w:color w:val="000000"/>
                <w:kern w:val="0"/>
                <w:sz w:val="20"/>
                <w:szCs w:val="16"/>
              </w:rPr>
              <w:t>就业人口比重</w:t>
            </w:r>
          </w:p>
        </w:tc>
      </w:tr>
      <w:tr w:rsidR="007E707F" w:rsidRPr="0069506F" w:rsidTr="007E707F">
        <w:trPr>
          <w:trHeight w:val="270"/>
        </w:trPr>
        <w:tc>
          <w:tcPr>
            <w:tcW w:w="515" w:type="pct"/>
            <w:vMerge/>
            <w:tcBorders>
              <w:top w:val="single" w:sz="4" w:space="0" w:color="auto"/>
              <w:left w:val="nil"/>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02"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宋体" w:eastAsia="宋体" w:hAnsi="宋体" w:cs="宋体"/>
                <w:color w:val="000000"/>
                <w:kern w:val="0"/>
                <w:sz w:val="20"/>
                <w:szCs w:val="16"/>
              </w:rPr>
            </w:pPr>
            <w:r w:rsidRPr="0069506F">
              <w:rPr>
                <w:rFonts w:ascii="宋体" w:eastAsia="宋体" w:hAnsi="宋体" w:cs="宋体" w:hint="eastAsia"/>
                <w:color w:val="000000"/>
                <w:kern w:val="0"/>
                <w:sz w:val="20"/>
                <w:szCs w:val="16"/>
              </w:rPr>
              <w:t>0-14</w:t>
            </w:r>
            <w:r w:rsidRPr="0069506F">
              <w:rPr>
                <w:rFonts w:ascii="仿宋" w:hAnsi="仿宋" w:cs="宋体" w:hint="eastAsia"/>
                <w:color w:val="000000"/>
                <w:kern w:val="0"/>
                <w:sz w:val="20"/>
                <w:szCs w:val="16"/>
              </w:rPr>
              <w:t>岁</w:t>
            </w:r>
          </w:p>
        </w:tc>
        <w:tc>
          <w:tcPr>
            <w:tcW w:w="403"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宋体" w:eastAsia="宋体" w:hAnsi="宋体" w:cs="宋体"/>
                <w:color w:val="000000"/>
                <w:kern w:val="0"/>
                <w:sz w:val="20"/>
                <w:szCs w:val="16"/>
              </w:rPr>
            </w:pPr>
            <w:r w:rsidRPr="0069506F">
              <w:rPr>
                <w:rFonts w:ascii="宋体" w:eastAsia="宋体" w:hAnsi="宋体" w:cs="宋体" w:hint="eastAsia"/>
                <w:color w:val="000000"/>
                <w:kern w:val="0"/>
                <w:sz w:val="20"/>
                <w:szCs w:val="16"/>
              </w:rPr>
              <w:t>5-64</w:t>
            </w:r>
            <w:r w:rsidRPr="0069506F">
              <w:rPr>
                <w:rFonts w:ascii="仿宋" w:hAnsi="仿宋" w:cs="宋体" w:hint="eastAsia"/>
                <w:color w:val="000000"/>
                <w:kern w:val="0"/>
                <w:sz w:val="20"/>
                <w:szCs w:val="16"/>
              </w:rPr>
              <w:t>岁</w:t>
            </w:r>
          </w:p>
        </w:tc>
        <w:tc>
          <w:tcPr>
            <w:tcW w:w="468"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rPr>
                <w:rFonts w:ascii="宋体" w:eastAsia="宋体" w:hAnsi="宋体" w:cs="宋体"/>
                <w:color w:val="000000"/>
                <w:kern w:val="0"/>
                <w:sz w:val="20"/>
                <w:szCs w:val="16"/>
              </w:rPr>
            </w:pPr>
            <w:r w:rsidRPr="0069506F">
              <w:rPr>
                <w:rFonts w:ascii="宋体" w:eastAsia="宋体" w:hAnsi="宋体" w:cs="宋体" w:hint="eastAsia"/>
                <w:color w:val="000000"/>
                <w:kern w:val="0"/>
                <w:sz w:val="20"/>
                <w:szCs w:val="16"/>
              </w:rPr>
              <w:t>65</w:t>
            </w:r>
            <w:r w:rsidRPr="0069506F">
              <w:rPr>
                <w:rFonts w:ascii="仿宋" w:hAnsi="仿宋" w:cs="宋体" w:hint="eastAsia"/>
                <w:color w:val="000000"/>
                <w:kern w:val="0"/>
                <w:sz w:val="20"/>
                <w:szCs w:val="16"/>
              </w:rPr>
              <w:t>岁及以上</w:t>
            </w: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12" w:type="pct"/>
            <w:vMerge/>
            <w:tcBorders>
              <w:top w:val="single" w:sz="4" w:space="0" w:color="auto"/>
              <w:left w:val="single" w:sz="4" w:space="0" w:color="auto"/>
              <w:bottom w:val="single" w:sz="4" w:space="0" w:color="auto"/>
              <w:right w:val="nil"/>
            </w:tcBorders>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r>
      <w:tr w:rsidR="007E707F" w:rsidRPr="0069506F" w:rsidTr="007E707F">
        <w:trPr>
          <w:trHeight w:val="270"/>
        </w:trPr>
        <w:tc>
          <w:tcPr>
            <w:tcW w:w="515"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jc w:val="center"/>
              <w:rPr>
                <w:rFonts w:ascii="仿宋" w:hAnsi="仿宋" w:cs="宋体"/>
                <w:color w:val="000000"/>
                <w:kern w:val="0"/>
                <w:sz w:val="20"/>
                <w:szCs w:val="16"/>
              </w:rPr>
            </w:pPr>
            <w:r w:rsidRPr="0069506F">
              <w:rPr>
                <w:rFonts w:ascii="仿宋" w:hAnsi="仿宋" w:cs="宋体" w:hint="eastAsia"/>
                <w:color w:val="000000"/>
                <w:kern w:val="0"/>
                <w:sz w:val="20"/>
                <w:szCs w:val="16"/>
              </w:rPr>
              <w:t>全区</w:t>
            </w:r>
          </w:p>
        </w:tc>
        <w:tc>
          <w:tcPr>
            <w:tcW w:w="388"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24"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51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02"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03"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68"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83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83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12" w:type="pct"/>
            <w:tcBorders>
              <w:top w:val="nil"/>
              <w:left w:val="nil"/>
              <w:bottom w:val="single" w:sz="4" w:space="0" w:color="auto"/>
              <w:right w:val="nil"/>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r>
      <w:tr w:rsidR="007E707F" w:rsidRPr="0069506F" w:rsidTr="007E707F">
        <w:trPr>
          <w:trHeight w:val="270"/>
        </w:trPr>
        <w:tc>
          <w:tcPr>
            <w:tcW w:w="515"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Chars="0" w:firstLine="0"/>
              <w:jc w:val="center"/>
              <w:rPr>
                <w:rFonts w:ascii="仿宋" w:hAnsi="仿宋" w:cs="宋体"/>
                <w:color w:val="000000"/>
                <w:kern w:val="0"/>
                <w:sz w:val="20"/>
                <w:szCs w:val="16"/>
              </w:rPr>
            </w:pPr>
            <w:r>
              <w:rPr>
                <w:rFonts w:ascii="仿宋" w:hAnsi="仿宋" w:cs="宋体" w:hint="eastAsia"/>
                <w:color w:val="000000"/>
                <w:kern w:val="0"/>
                <w:sz w:val="20"/>
                <w:szCs w:val="16"/>
              </w:rPr>
              <w:t>各街道</w:t>
            </w:r>
          </w:p>
        </w:tc>
        <w:tc>
          <w:tcPr>
            <w:tcW w:w="388"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24"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51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02"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03" w:type="pct"/>
            <w:gridSpan w:val="2"/>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468"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83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836" w:type="pct"/>
            <w:tcBorders>
              <w:top w:val="nil"/>
              <w:left w:val="nil"/>
              <w:bottom w:val="single" w:sz="4" w:space="0" w:color="auto"/>
              <w:right w:val="single" w:sz="4" w:space="0" w:color="auto"/>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c>
          <w:tcPr>
            <w:tcW w:w="312" w:type="pct"/>
            <w:tcBorders>
              <w:top w:val="nil"/>
              <w:left w:val="nil"/>
              <w:bottom w:val="single" w:sz="4" w:space="0" w:color="auto"/>
              <w:right w:val="nil"/>
            </w:tcBorders>
            <w:shd w:val="clear" w:color="auto" w:fill="auto"/>
            <w:noWrap/>
            <w:vAlign w:val="center"/>
            <w:hideMark/>
          </w:tcPr>
          <w:p w:rsidR="007E707F" w:rsidRPr="0069506F" w:rsidRDefault="007E707F" w:rsidP="007E707F">
            <w:pPr>
              <w:widowControl/>
              <w:ind w:firstLine="400"/>
              <w:jc w:val="center"/>
              <w:rPr>
                <w:rFonts w:ascii="仿宋" w:hAnsi="仿宋" w:cs="宋体"/>
                <w:color w:val="000000"/>
                <w:kern w:val="0"/>
                <w:sz w:val="20"/>
                <w:szCs w:val="16"/>
              </w:rPr>
            </w:pPr>
          </w:p>
        </w:tc>
      </w:tr>
    </w:tbl>
    <w:p w:rsidR="007E707F" w:rsidRPr="006E11E6" w:rsidRDefault="006E11E6" w:rsidP="007E707F">
      <w:pPr>
        <w:spacing w:line="560" w:lineRule="exact"/>
        <w:ind w:firstLine="640"/>
        <w:rPr>
          <w:rFonts w:ascii="黑体" w:eastAsia="黑体" w:hAnsi="黑体"/>
          <w:szCs w:val="32"/>
        </w:rPr>
      </w:pPr>
      <w:r>
        <w:rPr>
          <w:rFonts w:ascii="仿宋_GB2312" w:eastAsia="仿宋_GB2312" w:hint="eastAsia"/>
          <w:szCs w:val="32"/>
        </w:rPr>
        <w:t>3.</w:t>
      </w:r>
      <w:r w:rsidRPr="009A7BAA">
        <w:rPr>
          <w:rFonts w:ascii="仿宋_GB2312" w:eastAsia="仿宋_GB2312" w:hint="eastAsia"/>
          <w:szCs w:val="32"/>
        </w:rPr>
        <w:t>外部资料匹配性检验。利用企业用工调查、劳动工资调查的数据对劳动力调查数据结果进行趋势上的分析。与GDP、CPI、工业增加值等经济指标数据进行横向比较，特别是分析劳动力调查结果是否可以正确反映相关经济指标对就业变化的影响趋势。</w:t>
      </w:r>
    </w:p>
    <w:sectPr w:rsidR="007E707F" w:rsidRPr="006E11E6" w:rsidSect="00D02C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2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70" w:rsidRDefault="00055870" w:rsidP="00024073">
      <w:pPr>
        <w:ind w:firstLine="640"/>
      </w:pPr>
      <w:r>
        <w:separator/>
      </w:r>
    </w:p>
  </w:endnote>
  <w:endnote w:type="continuationSeparator" w:id="1">
    <w:p w:rsidR="00055870" w:rsidRDefault="00055870" w:rsidP="0002407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73" w:rsidRDefault="00024073" w:rsidP="00024073">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hint="eastAsia"/>
        <w:sz w:val="28"/>
        <w:szCs w:val="28"/>
      </w:rPr>
      <w:id w:val="10606649"/>
      <w:docPartObj>
        <w:docPartGallery w:val="Page Numbers (Bottom of Page)"/>
        <w:docPartUnique/>
      </w:docPartObj>
    </w:sdtPr>
    <w:sdtContent>
      <w:p w:rsidR="00024073" w:rsidRDefault="00D02C95" w:rsidP="00D02C95">
        <w:pPr>
          <w:pStyle w:val="a8"/>
          <w:ind w:firstLineChars="0" w:firstLine="0"/>
          <w:jc w:val="center"/>
        </w:pPr>
        <w:r w:rsidRPr="009E6FBB">
          <w:rPr>
            <w:rFonts w:asciiTheme="minorEastAsia" w:eastAsiaTheme="minorEastAsia" w:hAnsiTheme="minorEastAsia" w:hint="eastAsia"/>
            <w:sz w:val="28"/>
            <w:szCs w:val="28"/>
          </w:rPr>
          <w:t>-</w:t>
        </w:r>
        <w:r w:rsidRPr="009E6FBB">
          <w:rPr>
            <w:rFonts w:asciiTheme="minorEastAsia" w:eastAsiaTheme="minorEastAsia" w:hAnsiTheme="minorEastAsia"/>
            <w:sz w:val="28"/>
            <w:szCs w:val="28"/>
          </w:rPr>
          <w:fldChar w:fldCharType="begin"/>
        </w:r>
        <w:r w:rsidRPr="009E6FBB">
          <w:rPr>
            <w:rFonts w:asciiTheme="minorEastAsia" w:eastAsiaTheme="minorEastAsia" w:hAnsiTheme="minorEastAsia"/>
            <w:sz w:val="28"/>
            <w:szCs w:val="28"/>
          </w:rPr>
          <w:instrText xml:space="preserve"> PAGE   \* MERGEFORMAT </w:instrText>
        </w:r>
        <w:r w:rsidRPr="009E6FBB">
          <w:rPr>
            <w:rFonts w:asciiTheme="minorEastAsia" w:eastAsiaTheme="minorEastAsia" w:hAnsiTheme="minorEastAsia"/>
            <w:sz w:val="28"/>
            <w:szCs w:val="28"/>
          </w:rPr>
          <w:fldChar w:fldCharType="separate"/>
        </w:r>
        <w:r w:rsidRPr="00D02C95">
          <w:rPr>
            <w:rFonts w:asciiTheme="minorEastAsia" w:eastAsiaTheme="minorEastAsia" w:hAnsiTheme="minorEastAsia"/>
            <w:noProof/>
            <w:sz w:val="28"/>
            <w:szCs w:val="28"/>
            <w:lang w:val="zh-CN"/>
          </w:rPr>
          <w:t>26</w:t>
        </w:r>
        <w:r w:rsidRPr="009E6FBB">
          <w:rPr>
            <w:rFonts w:asciiTheme="minorEastAsia" w:eastAsiaTheme="minorEastAsia" w:hAnsiTheme="minorEastAsia"/>
            <w:sz w:val="28"/>
            <w:szCs w:val="28"/>
          </w:rPr>
          <w:fldChar w:fldCharType="end"/>
        </w:r>
        <w:r w:rsidRPr="009E6FBB">
          <w:rPr>
            <w:rFonts w:asciiTheme="minorEastAsia" w:eastAsiaTheme="minorEastAsia" w:hAnsiTheme="minorEastAsia"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73" w:rsidRDefault="00024073" w:rsidP="00024073">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70" w:rsidRDefault="00055870" w:rsidP="00024073">
      <w:pPr>
        <w:ind w:firstLine="640"/>
      </w:pPr>
      <w:r>
        <w:separator/>
      </w:r>
    </w:p>
  </w:footnote>
  <w:footnote w:type="continuationSeparator" w:id="1">
    <w:p w:rsidR="00055870" w:rsidRDefault="00055870" w:rsidP="0002407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73" w:rsidRDefault="00024073" w:rsidP="0002407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73" w:rsidRPr="00024073" w:rsidRDefault="00024073" w:rsidP="00024073">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73" w:rsidRDefault="00024073" w:rsidP="00024073">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145"/>
    <w:rsid w:val="00024073"/>
    <w:rsid w:val="00055870"/>
    <w:rsid w:val="00115056"/>
    <w:rsid w:val="001D18E8"/>
    <w:rsid w:val="002B3DFB"/>
    <w:rsid w:val="002D6685"/>
    <w:rsid w:val="00305787"/>
    <w:rsid w:val="00325505"/>
    <w:rsid w:val="00342246"/>
    <w:rsid w:val="003B53CA"/>
    <w:rsid w:val="004B7A94"/>
    <w:rsid w:val="004F60CE"/>
    <w:rsid w:val="005A61FB"/>
    <w:rsid w:val="006463BC"/>
    <w:rsid w:val="00654263"/>
    <w:rsid w:val="006E11E6"/>
    <w:rsid w:val="007112D9"/>
    <w:rsid w:val="00734A32"/>
    <w:rsid w:val="007E707F"/>
    <w:rsid w:val="008F3960"/>
    <w:rsid w:val="00907145"/>
    <w:rsid w:val="00914A07"/>
    <w:rsid w:val="0095202D"/>
    <w:rsid w:val="009D7451"/>
    <w:rsid w:val="00A0177B"/>
    <w:rsid w:val="00A36A50"/>
    <w:rsid w:val="00AA7262"/>
    <w:rsid w:val="00B903FF"/>
    <w:rsid w:val="00C7395F"/>
    <w:rsid w:val="00CD6945"/>
    <w:rsid w:val="00D02C95"/>
    <w:rsid w:val="00D623B8"/>
    <w:rsid w:val="00DC6C62"/>
    <w:rsid w:val="00DD3880"/>
    <w:rsid w:val="00DF4357"/>
    <w:rsid w:val="00EF1638"/>
    <w:rsid w:val="00F33623"/>
    <w:rsid w:val="00F703E8"/>
    <w:rsid w:val="00FF0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145"/>
    <w:pPr>
      <w:widowControl w:val="0"/>
      <w:ind w:firstLineChars="200" w:firstLine="200"/>
      <w:jc w:val="both"/>
    </w:pPr>
    <w:rPr>
      <w:rFonts w:eastAsia="仿宋"/>
      <w:sz w:val="32"/>
    </w:rPr>
  </w:style>
  <w:style w:type="paragraph" w:styleId="1">
    <w:name w:val="heading 1"/>
    <w:aliases w:val="题目"/>
    <w:basedOn w:val="a"/>
    <w:next w:val="a"/>
    <w:link w:val="1Char"/>
    <w:autoRedefine/>
    <w:uiPriority w:val="9"/>
    <w:qFormat/>
    <w:rsid w:val="008F3960"/>
    <w:pPr>
      <w:keepNext/>
      <w:keepLines/>
      <w:ind w:firstLineChars="0" w:firstLine="0"/>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1D18E8"/>
    <w:pPr>
      <w:spacing w:before="240" w:after="60"/>
      <w:ind w:firstLineChars="0" w:firstLine="0"/>
      <w:jc w:val="center"/>
      <w:outlineLvl w:val="0"/>
    </w:pPr>
    <w:rPr>
      <w:rFonts w:asciiTheme="majorHAnsi" w:eastAsia="黑体" w:hAnsiTheme="majorHAnsi" w:cstheme="majorBidi"/>
      <w:b/>
      <w:bCs/>
      <w:sz w:val="44"/>
      <w:szCs w:val="32"/>
    </w:rPr>
  </w:style>
  <w:style w:type="character" w:customStyle="1" w:styleId="Char">
    <w:name w:val="标题 Char"/>
    <w:basedOn w:val="a0"/>
    <w:link w:val="a3"/>
    <w:uiPriority w:val="10"/>
    <w:rsid w:val="001D18E8"/>
    <w:rPr>
      <w:rFonts w:asciiTheme="majorHAnsi" w:eastAsia="黑体" w:hAnsiTheme="majorHAnsi" w:cstheme="majorBidi"/>
      <w:b/>
      <w:bCs/>
      <w:sz w:val="44"/>
      <w:szCs w:val="32"/>
    </w:rPr>
  </w:style>
  <w:style w:type="character" w:customStyle="1" w:styleId="1Char">
    <w:name w:val="标题 1 Char"/>
    <w:aliases w:val="题目 Char"/>
    <w:basedOn w:val="a0"/>
    <w:link w:val="1"/>
    <w:uiPriority w:val="9"/>
    <w:rsid w:val="008F3960"/>
    <w:rPr>
      <w:rFonts w:eastAsia="黑体"/>
      <w:bCs/>
      <w:kern w:val="44"/>
      <w:sz w:val="44"/>
      <w:szCs w:val="44"/>
    </w:rPr>
  </w:style>
  <w:style w:type="paragraph" w:styleId="a4">
    <w:name w:val="Subtitle"/>
    <w:basedOn w:val="a"/>
    <w:next w:val="a"/>
    <w:link w:val="Char0"/>
    <w:autoRedefine/>
    <w:uiPriority w:val="11"/>
    <w:qFormat/>
    <w:rsid w:val="00342246"/>
    <w:pPr>
      <w:ind w:firstLineChars="0" w:firstLine="0"/>
      <w:jc w:val="center"/>
      <w:outlineLvl w:val="1"/>
    </w:pPr>
    <w:rPr>
      <w:rFonts w:asciiTheme="majorHAnsi" w:eastAsia="宋体" w:hAnsiTheme="majorHAnsi" w:cstheme="majorBidi"/>
      <w:bCs/>
      <w:kern w:val="28"/>
      <w:szCs w:val="32"/>
    </w:rPr>
  </w:style>
  <w:style w:type="character" w:customStyle="1" w:styleId="Char0">
    <w:name w:val="副标题 Char"/>
    <w:basedOn w:val="a0"/>
    <w:link w:val="a4"/>
    <w:uiPriority w:val="11"/>
    <w:rsid w:val="00342246"/>
    <w:rPr>
      <w:rFonts w:asciiTheme="majorHAnsi" w:eastAsia="宋体" w:hAnsiTheme="majorHAnsi" w:cstheme="majorBidi"/>
      <w:bCs/>
      <w:kern w:val="28"/>
      <w:sz w:val="32"/>
      <w:szCs w:val="32"/>
    </w:rPr>
  </w:style>
  <w:style w:type="paragraph" w:styleId="a5">
    <w:name w:val="List Paragraph"/>
    <w:basedOn w:val="a"/>
    <w:uiPriority w:val="34"/>
    <w:qFormat/>
    <w:rsid w:val="006463BC"/>
    <w:pPr>
      <w:ind w:firstLine="420"/>
    </w:pPr>
  </w:style>
  <w:style w:type="paragraph" w:styleId="a6">
    <w:name w:val="Balloon Text"/>
    <w:basedOn w:val="a"/>
    <w:link w:val="Char1"/>
    <w:uiPriority w:val="99"/>
    <w:semiHidden/>
    <w:unhideWhenUsed/>
    <w:rsid w:val="00024073"/>
    <w:rPr>
      <w:sz w:val="18"/>
      <w:szCs w:val="18"/>
    </w:rPr>
  </w:style>
  <w:style w:type="character" w:customStyle="1" w:styleId="Char1">
    <w:name w:val="批注框文本 Char"/>
    <w:basedOn w:val="a0"/>
    <w:link w:val="a6"/>
    <w:uiPriority w:val="99"/>
    <w:semiHidden/>
    <w:rsid w:val="00024073"/>
    <w:rPr>
      <w:rFonts w:eastAsia="仿宋"/>
      <w:sz w:val="18"/>
      <w:szCs w:val="18"/>
    </w:rPr>
  </w:style>
  <w:style w:type="paragraph" w:styleId="a7">
    <w:name w:val="header"/>
    <w:basedOn w:val="a"/>
    <w:link w:val="Char2"/>
    <w:uiPriority w:val="99"/>
    <w:semiHidden/>
    <w:unhideWhenUsed/>
    <w:rsid w:val="0002407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24073"/>
    <w:rPr>
      <w:rFonts w:eastAsia="仿宋"/>
      <w:sz w:val="18"/>
      <w:szCs w:val="18"/>
    </w:rPr>
  </w:style>
  <w:style w:type="paragraph" w:styleId="a8">
    <w:name w:val="footer"/>
    <w:basedOn w:val="a"/>
    <w:link w:val="Char3"/>
    <w:uiPriority w:val="99"/>
    <w:semiHidden/>
    <w:unhideWhenUsed/>
    <w:rsid w:val="00024073"/>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024073"/>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372A-5D5B-4FA7-86D4-6940DE7F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416</Words>
  <Characters>2372</Characters>
  <Application>Microsoft Office Word</Application>
  <DocSecurity>0</DocSecurity>
  <Lines>19</Lines>
  <Paragraphs>5</Paragraphs>
  <ScaleCrop>false</ScaleCrop>
  <Company>国家统计局</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李飞</dc:creator>
  <cp:keywords/>
  <dc:description/>
  <cp:lastModifiedBy>hbtj2</cp:lastModifiedBy>
  <cp:revision>18</cp:revision>
  <cp:lastPrinted>2015-11-17T03:28:00Z</cp:lastPrinted>
  <dcterms:created xsi:type="dcterms:W3CDTF">2015-06-05T02:34:00Z</dcterms:created>
  <dcterms:modified xsi:type="dcterms:W3CDTF">2015-11-17T03:28:00Z</dcterms:modified>
</cp:coreProperties>
</file>