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0" w:firstLineChars="0"/>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公安河北分局2023年度法治政府建设情况报告</w:t>
      </w:r>
    </w:p>
    <w:p>
      <w:pPr>
        <w:pStyle w:val="2"/>
        <w:spacing w:line="360" w:lineRule="auto"/>
        <w:ind w:firstLine="0" w:firstLineChars="0"/>
        <w:rPr>
          <w:rFonts w:ascii="方正仿宋_GBK" w:hAnsi="方正仿宋_GBK" w:eastAsia="方正仿宋_GBK" w:cs="方正仿宋_GBK"/>
          <w:sz w:val="32"/>
          <w:szCs w:val="32"/>
        </w:rPr>
      </w:pPr>
    </w:p>
    <w:p>
      <w:pPr>
        <w:pStyle w:val="2"/>
        <w:spacing w:line="360" w:lineRule="auto"/>
        <w:ind w:firstLine="0" w:firstLineChars="0"/>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sz w:val="32"/>
          <w:szCs w:val="32"/>
        </w:rPr>
        <w:t>按照区司法局关于报送2023年度法治政府建设情况报告</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要求，现将我单位2023年法治政府建设情况报告如下：</w:t>
      </w:r>
    </w:p>
    <w:p>
      <w:pPr>
        <w:pStyle w:val="2"/>
        <w:spacing w:line="360" w:lineRule="auto"/>
        <w:ind w:firstLine="640" w:firstLineChars="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一、2023年推进法治政府建设主要举措和成效；</w:t>
      </w:r>
    </w:p>
    <w:p>
      <w:pPr>
        <w:pStyle w:val="2"/>
        <w:spacing w:line="360" w:lineRule="auto"/>
        <w:ind w:firstLine="553" w:firstLineChars="173"/>
        <w:rPr>
          <w:rFonts w:ascii="楷体" w:hAnsi="楷体" w:eastAsia="楷体" w:cs="仿宋_GB2312"/>
          <w:sz w:val="34"/>
          <w:szCs w:val="34"/>
        </w:rPr>
      </w:pPr>
      <w:r>
        <w:rPr>
          <w:rFonts w:hint="eastAsia" w:ascii="方正楷体_GBK" w:hAnsi="方正楷体_GBK" w:eastAsia="方正楷体_GBK" w:cs="方正楷体_GBK"/>
          <w:sz w:val="32"/>
          <w:szCs w:val="32"/>
        </w:rPr>
        <w:t>（一）</w:t>
      </w:r>
      <w:r>
        <w:rPr>
          <w:rFonts w:hint="eastAsia" w:ascii="楷体" w:hAnsi="楷体" w:eastAsia="楷体" w:cs="仿宋_GB2312"/>
          <w:sz w:val="34"/>
          <w:szCs w:val="34"/>
        </w:rPr>
        <w:t>持续开展习近平法治思想学习宣传，推动学习贯彻走深走实</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1.成立持续</w:t>
      </w:r>
      <w:r>
        <w:rPr>
          <w:rFonts w:ascii="仿宋_GB2312" w:hAnsi="仿宋_GB2312" w:eastAsia="仿宋_GB2312" w:cs="仿宋_GB2312"/>
          <w:sz w:val="32"/>
          <w:szCs w:val="32"/>
        </w:rPr>
        <w:t>推动学习贯彻习近平法治思想</w:t>
      </w:r>
      <w:r>
        <w:rPr>
          <w:rFonts w:hint="eastAsia" w:ascii="仿宋_GB2312" w:hAnsi="仿宋_GB2312" w:eastAsia="仿宋_GB2312" w:cs="仿宋_GB2312"/>
          <w:sz w:val="32"/>
          <w:szCs w:val="32"/>
        </w:rPr>
        <w:t>走深走实工作领导小组，周密安排部署，挂图作战、倒排工期，组织党委理论中心组专题学习，督促各级党组织以及全体民警开展集中学习和自学，切实把学习活动的各项工作任务落到实处。</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2.开展以考促学，自6月份起，组织民警开展习近平法治思想专题考试，分局1161名民警完成并全部通过习近平法治思想专题考试。</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举办专题讲座，邀请天津市市委党校龚艳教授来我分局针对习近平法治思想核心要义进行辅导讲座。龚艳教授围绕习近平法治思想基本精神、核心要义、实践要求等内容进行具体分析。全体民警认真聆听授课，记录课程重点内容。 </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4.开展专题宣讲。分局长任红卫同志在分局举办学习贯彻习近平法治思想专题宣讲。宣讲主要围绕习近平法治思想的理论特征、主要内容进行宣讲。</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（二）提升服务新发展格局能力</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1.坚持调度统筹，加强数据赋能实战工作</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Calibri" w:eastAsia="仿宋_GB2312"/>
          <w:b/>
          <w:kern w:val="32"/>
          <w:sz w:val="32"/>
          <w:szCs w:val="32"/>
        </w:rPr>
        <w:t>一是强化与大数据中心融合对接。</w:t>
      </w:r>
      <w:r>
        <w:rPr>
          <w:rFonts w:hint="eastAsia" w:ascii="仿宋_GB2312" w:hAnsi="仿宋_GB2312" w:eastAsia="仿宋_GB2312" w:cs="仿宋_GB2312"/>
          <w:sz w:val="32"/>
          <w:szCs w:val="32"/>
        </w:rPr>
        <w:t>坚持构建集情报引领、指挥调度、信息研判、辅助决策、服务保障于一体的新型智慧指挥体系，突出需求引领，深化情报多方感知，制定《河北分局合成作战中心与大数据应用实战中心进一步融合机制》、《河北分局合成作战中心警情协同系统工作规范》等多项工作机制，推进与大数据应用实战中心深度融合对接，建立“指挥+情报”综合性指挥平台，打造运用情报数据支撑实战的新格局。面对各类突发敏感案事件，指挥室第一时间建立“协同群组”，协同各职能部门、专业警种给予专业支撑，提升工作质效。</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Calibri" w:eastAsia="仿宋_GB2312"/>
          <w:b/>
          <w:kern w:val="32"/>
          <w:sz w:val="32"/>
          <w:szCs w:val="32"/>
        </w:rPr>
        <w:t>二是深化警情分析应用。</w:t>
      </w:r>
      <w:r>
        <w:rPr>
          <w:rFonts w:hint="eastAsia" w:ascii="仿宋_GB2312" w:hAnsi="仿宋_GB2312" w:eastAsia="仿宋_GB2312" w:cs="仿宋_GB2312"/>
          <w:sz w:val="32"/>
          <w:szCs w:val="32"/>
        </w:rPr>
        <w:t>今年以来，先后下发《2022年警情分析及相关工作情况报告》、《上半年我区警情态势分析》、《重复报警及不满意工单、警情分析报告》、《2023年我区“三盗”类警情分析及压降建议》等分析报告，加强警情分析应用，分局制定“一总六分”警情分析模板，指导属地派出所根据本辖区实际开展警情分析研判，找出电诈、“三盗”、纠纷等警情高发社区，有针对性开展宣传、防范、打击工作，推进“预防警务”、“主动警务”，进一步提升辖区治理能力。</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2.提升政务服务，推进为民服务走深走实</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Calibri" w:eastAsia="仿宋_GB2312"/>
          <w:b/>
          <w:kern w:val="32"/>
          <w:sz w:val="32"/>
          <w:szCs w:val="32"/>
        </w:rPr>
        <w:t>一是推进优化营商环境各项措施。</w:t>
      </w:r>
      <w:r>
        <w:rPr>
          <w:rFonts w:hint="eastAsia" w:ascii="仿宋_GB2312" w:hAnsi="仿宋_GB2312" w:eastAsia="仿宋_GB2312" w:cs="仿宋_GB2312"/>
          <w:sz w:val="32"/>
          <w:szCs w:val="32"/>
        </w:rPr>
        <w:t>按照分局下发的《关于制定服务河北区经济社会发展六项举措的报告》中做好企业服务相关要求，协调各职能部门，召开了公安河北分局与全区招商部门对接会议，建立“服务企业动车‘靠前号’”微信工作群，汇编印制发放了《天津市公安局河北分局服务企业办事项目手册》，对外公布分局相关职能部门服务企业办事项目、政策解读及办公地址、联系电话等服务信息，积极解答企业问题，提供相关服务。</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Calibri" w:eastAsia="仿宋_GB2312"/>
          <w:b/>
          <w:kern w:val="32"/>
          <w:sz w:val="32"/>
          <w:szCs w:val="32"/>
        </w:rPr>
        <w:t>二是营造见义勇为浓厚氛围。</w:t>
      </w:r>
      <w:r>
        <w:rPr>
          <w:rFonts w:hint="eastAsia" w:ascii="仿宋_GB2312" w:hAnsi="仿宋_GB2312" w:eastAsia="仿宋_GB2312" w:cs="仿宋_GB2312"/>
          <w:sz w:val="32"/>
          <w:szCs w:val="32"/>
        </w:rPr>
        <w:t>充分发挥见义勇为协会作用，在市见义勇为协会大力指导和分局的坚强领导下，截止目前，河北区见义勇为协会今年共确认见义勇为人员41人，颁发奖励金45500元。其中，由河北区见义勇为协会推介的李强、巩俊虎群体被评为“天津见义勇为好人”。积极弘扬社会正气，以线下宣讲、线上传播，图文、短视频等形式开展见义勇为宣传，在《天津日报》、《天津政法报》、“津云”、“文明天津”等传统媒体和新媒体对外刊发宣传报道80余条，广开志愿服务新路径，挂牌成立9个见义勇为志愿服务站，招募志愿者90名。举办“五进”线下宣传活动20余次，召开区级见义勇为表彰会两次，建立社区宣传栏30个，努力营造传递时代正能量的宣传环境。</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Calibri" w:eastAsia="仿宋_GB2312"/>
          <w:b/>
          <w:kern w:val="32"/>
          <w:sz w:val="32"/>
          <w:szCs w:val="32"/>
        </w:rPr>
        <w:t>三是提升12345民生服务效能。</w:t>
      </w:r>
      <w:r>
        <w:rPr>
          <w:rFonts w:hint="eastAsia" w:ascii="仿宋_GB2312" w:hAnsi="仿宋_GB2312" w:eastAsia="仿宋_GB2312" w:cs="仿宋_GB2312"/>
          <w:sz w:val="32"/>
          <w:szCs w:val="32"/>
        </w:rPr>
        <w:t>为进一步增强“天津公安民生服务平台”“12345政府便民服务热线”转办单办理工作，全面提升分局承办政务热线工单满意度，升级分局为民服务工作水平及工作效率，研究制定了分局《关于进一步提升“12345便民热线”工单满意度的工作措施》。以全面落实领导责任制、全面落实首接责任制、全面落实承办责任制、全面落实反馈责任制，四个核心任务目标人物为突破口，再次重申分局民生服务平台值守工作流程制度，且全面提升分局工作效能，提高为民服务满意度，打下的坚实的工作基础。截止目前，分局总计办理12345政服务热线等民生服务工单18642单，最终满意度为99.6%。</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3.坚持联动联建，以更强合力多元服务基层</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一是加强教育培训。</w:t>
      </w:r>
      <w:r>
        <w:rPr>
          <w:rFonts w:hint="eastAsia" w:ascii="仿宋_GB2312" w:hAnsi="仿宋_GB2312" w:eastAsia="仿宋_GB2312" w:cs="仿宋_GB2312"/>
          <w:sz w:val="32"/>
          <w:szCs w:val="32"/>
        </w:rPr>
        <w:t>严格落实周培训、月考核、年比武机制，推动“缺什么，就补什么”，“干什么，就培训什么”，助力派出所提升实战能力。今年以来，开展培训26次、月考核7次、社区民警大比武1次。</w:t>
      </w:r>
      <w:r>
        <w:rPr>
          <w:rFonts w:hint="eastAsia" w:ascii="仿宋_GB2312" w:hAnsi="仿宋_GB2312" w:eastAsia="仿宋_GB2312" w:cs="仿宋_GB2312"/>
          <w:b/>
          <w:sz w:val="32"/>
          <w:szCs w:val="32"/>
        </w:rPr>
        <w:t>二是推进问题整改。</w:t>
      </w:r>
      <w:r>
        <w:rPr>
          <w:rFonts w:hint="eastAsia" w:ascii="仿宋_GB2312" w:hAnsi="仿宋_GB2312" w:eastAsia="仿宋_GB2312" w:cs="仿宋_GB2312"/>
          <w:sz w:val="32"/>
          <w:szCs w:val="32"/>
        </w:rPr>
        <w:t>建立“每周3次深入基层”机制，以“分组包联”的形式长期派员深入派出所跟班作业，就各项重点工作进行督导推动，帮助基层发现解决存在问题。并以“河北公安E监督”反馈责任单位，直达责任人，监督问题整改。今年以来，发送问题155条，全部问题已整改到位。</w:t>
      </w:r>
      <w:r>
        <w:rPr>
          <w:rFonts w:hint="eastAsia" w:ascii="仿宋_GB2312" w:hAnsi="仿宋_GB2312" w:eastAsia="仿宋_GB2312" w:cs="仿宋_GB2312"/>
          <w:b/>
          <w:sz w:val="32"/>
          <w:szCs w:val="32"/>
        </w:rPr>
        <w:t>三是做实服务基层</w:t>
      </w:r>
      <w:r>
        <w:rPr>
          <w:rFonts w:hint="eastAsia" w:ascii="仿宋_GB2312" w:hAnsi="仿宋_GB2312" w:eastAsia="仿宋_GB2312" w:cs="仿宋_GB2312"/>
          <w:sz w:val="32"/>
          <w:szCs w:val="32"/>
        </w:rPr>
        <w:t>。按照打基础、强基层、促联动、严整治目标，制定了服务基层、推动工作质效提升落实措施。推动召开区信访联席会议和“四长会”，为基层打击“非访”“越级访”提供政策支撑，有效消除公安访；搭建实有人口基本信息要素缺失模型，推进社区民警“以核代采”，切实为社区民警减负；建立“无事不扰”工作机制，实行网上监督巡查；规范流浪犬大型犬留检、无主尸体处置、危爆物品储存流程，实行24小时响应；提供24小时出入境管理法律政策咨询，全程指导涉外案件办理；协助派出所做好我区10个常用警卫场所和18条常用警卫路线的基础调研工作，切实做出服务基层承诺。</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4.紧盯民生小案，坚持打防并举</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切实发挥406工作机制作用，在预警劝阻、资金止付、案件防范上提质增效，压紧压实电信诈骗案件首接责任制，第一时间开展止付冻结。</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结合民生小案、身边小案，梳理规律特点，及时推送基础管控中心，对接重点社区警格，形成涉诈、涉盗抢骗、老百姓身边小案等类犯罪宣传防范和治安防控、群防群治力量整体联动，强化打防结合源头治理的效果。</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将始终围绕推进更高水平平安天津建设，积极适应辖区社会治安形势发展变化和全面深化公安改革需要，以深化机制改革为动力，构建大数据新生态数据理念引领，全方位实体化全量支撑，扁平化协同警务管理的刑事侦查新模式，不断增强人民群众获得感、幸福感、安全感，着力提升安全品质和群众安全感满意度。</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一系列举措推行落实下，今年以来各项工作取得了突出成效。今年以来共采取强制措施811人，同比上升28%，破获各类案件1075起，同比上升28.9%。破获八类案件33起，同比上升50%；破获侵财类案件644起，同比上升40%，破获电诈类案件212起，同比上升35.9%，取得了扎实成效。断卡”专案行动工作中，接部推线索共计1624条，对815人进行调查取证工作，扩线354人，共抓获涉“两卡”犯罪嫌疑人154人、采取强制措施154人，对154名失信用户实施了惩戒措施，打掉涉“两卡”违法犯罪团伙14个，缴获手机卡253余张、银行卡415余张等作案工具，有效铲除“两卡”犯罪土壤。推送资金侧见面劝阻指令6109条，成功劝阻欲被骗人员130人，止损378万余元。各项工作取得显著效果。</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（三）加强法治政府建设，提高依法行政水平</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1.严格刑事、行政案件审核。</w:t>
      </w:r>
      <w:r>
        <w:rPr>
          <w:rFonts w:hint="eastAsia" w:ascii="仿宋_GB2312" w:hAnsi="仿宋_GB2312" w:eastAsia="仿宋_GB2312" w:cs="仿宋_GB2312"/>
          <w:sz w:val="32"/>
          <w:szCs w:val="32"/>
        </w:rPr>
        <w:t>今年以来，刑事案件审核共计提请批准逮捕518人（逮捕 295 人，不批准逮捕 190人），取保候审468人，监视居住 49人；行政案件审核共计行政拘留821人，警告50 人，单处罚款180 人，共计罚款17.3万元，移送起诉 752人。</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2.加强行政复议工作。</w:t>
      </w:r>
      <w:r>
        <w:rPr>
          <w:rFonts w:hint="eastAsia" w:ascii="仿宋_GB2312" w:hAnsi="仿宋_GB2312" w:eastAsia="仿宋_GB2312" w:cs="仿宋_GB2312"/>
          <w:sz w:val="32"/>
          <w:szCs w:val="32"/>
        </w:rPr>
        <w:t>今年以来，共计办理刑事复议33件，配合市局刑事复核15件；办理行政复议72件，其中，配合市局行政复议57件，配合区政府复议6件，自受理行政复议9件，实质性化解行政纠纷7件，有效发挥化解行政争议主渠道作用。</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3.提升行政诉讼办案质量。</w:t>
      </w:r>
      <w:r>
        <w:rPr>
          <w:rFonts w:hint="eastAsia" w:ascii="仿宋_GB2312" w:hAnsi="仿宋_GB2312" w:eastAsia="仿宋_GB2312" w:cs="仿宋_GB2312"/>
          <w:sz w:val="32"/>
          <w:szCs w:val="32"/>
        </w:rPr>
        <w:t>参与行政诉讼61件，出庭应诉案件 25件，均由行政机关负责人实际出庭，出庭率达到100%，实现应出尽出。</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4.加强法律顾问和公职律师工作。</w:t>
      </w:r>
      <w:r>
        <w:rPr>
          <w:rFonts w:hint="eastAsia" w:ascii="仿宋_GB2312" w:hAnsi="仿宋_GB2312" w:eastAsia="仿宋_GB2312" w:cs="仿宋_GB2312"/>
          <w:sz w:val="32"/>
          <w:szCs w:val="32"/>
        </w:rPr>
        <w:t>法制支队四名公职律师民警为分局提供重大事项法律意见3件，起草、修改、审核重要的法律文书或者合同、协议2件，参与信访接待、矛盾调处等工作8件，参与行政处罚审核、行政裁决、行政复议、行政诉讼等工作1400余件，开展普法宣传教育8件，办理民事案件的诉讼和调解、仲裁等法律事务2件等。</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5.加强教育培训，提升民警执法办案能力水平。</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一是研究制定分局执法培训计划。制定《公安河北分局优化执法主体素质提升基层执法能力三年行动规划202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年度实施方案》，加强民警执法能力培训。</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组织执法规范化培训。利用每周一课、轮值战训等多种形式开展培训。在分局轮值战训中心，对分局10个派出所20名法制员开展3天封闭培训。对民警执法办案平台规范使用、执法音视频、行政案件程序规则等方面开展培训。10月中旬举办为期五天的执法办案培训班，对分局全体执法办案民警开展培训。</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开展送法下基层活动。法制支队组成送法下基层小分队，深入分局各派出所，就民辅警就工作中遇到的“疑难杂症”开展交流研讨，现场对侦办案件的难点、堵点进行解答，并对办理刑事、行政案件程序规定涉及内容进行培训。定期由支队现职领导干部轮流带审核、预审干部深入基层办案单位，现场研究解决疑难案件、审核审批案件；定期分析执法办案中存在的问题，营造在干中学、事上练的浓厚氛围，达到法制与基层执法能力“双提升”。</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340" w:firstLineChars="100"/>
        <w:rPr>
          <w:rFonts w:ascii="楷体" w:hAnsi="楷体" w:eastAsia="楷体" w:cs="仿宋_GB2312"/>
          <w:sz w:val="34"/>
          <w:szCs w:val="34"/>
        </w:rPr>
      </w:pPr>
      <w:r>
        <w:rPr>
          <w:rFonts w:hint="eastAsia" w:ascii="楷体" w:hAnsi="楷体" w:eastAsia="楷体" w:cs="仿宋_GB2312"/>
          <w:sz w:val="34"/>
          <w:szCs w:val="34"/>
        </w:rPr>
        <w:t>（四）深入开展社会依法治理</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1.强化巡逻防控，维护社会秩序整体稳定</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Calibri" w:eastAsia="仿宋_GB2312"/>
          <w:kern w:val="32"/>
          <w:sz w:val="32"/>
          <w:szCs w:val="32"/>
        </w:rPr>
      </w:pPr>
      <w:r>
        <w:rPr>
          <w:rFonts w:hint="eastAsia" w:ascii="仿宋_GB2312" w:hAnsi="Calibri" w:eastAsia="仿宋_GB2312"/>
          <w:b/>
          <w:kern w:val="32"/>
          <w:sz w:val="32"/>
          <w:szCs w:val="32"/>
        </w:rPr>
        <w:t>一是健全巡控工作体系。</w:t>
      </w:r>
      <w:r>
        <w:rPr>
          <w:rFonts w:hint="eastAsia" w:ascii="仿宋_GB2312" w:hAnsi="Calibri" w:eastAsia="仿宋_GB2312"/>
          <w:kern w:val="32"/>
          <w:sz w:val="32"/>
          <w:szCs w:val="32"/>
        </w:rPr>
        <w:t>本着“科学统筹、整体规划”的原则，2023年坚持一提升巡逻防控工作效能为基本点，不断优化辖区内各重要勤务点位任务部署。先后研究制定下发了《河北分局夏季攻坚巡逻勤务动态调整工作方案》、《公安河北分局关于落实重点区域防范工作机制工作实施方案》、《公安河北分局紧急布控查缉工作预案》等勤务动态调整工作方案，重新研究设置了分局13处“1.3.5”分钟快速反应机制点位、10处重点部位值守点位、30处必巡路线、10处查缉布控战区。同时实时结合本年度不同时间段勤务重点任务核心的不同，与2023年5月、9月、10月三次调整了分局各巡逻岗组勤务设置及勤务时段。最大限度的为基层单位减少了工作压力及工作负担，提升了分局整体工作能力。</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Calibri" w:eastAsia="仿宋_GB2312"/>
          <w:kern w:val="32"/>
          <w:sz w:val="32"/>
          <w:szCs w:val="32"/>
        </w:rPr>
      </w:pPr>
      <w:r>
        <w:rPr>
          <w:rFonts w:hint="eastAsia" w:ascii="仿宋_GB2312" w:hAnsi="Calibri" w:eastAsia="仿宋_GB2312"/>
          <w:b/>
          <w:kern w:val="32"/>
          <w:sz w:val="32"/>
          <w:szCs w:val="32"/>
        </w:rPr>
        <w:t>二是提升辖区治安稳定。</w:t>
      </w:r>
      <w:r>
        <w:rPr>
          <w:rFonts w:hint="eastAsia" w:ascii="仿宋_GB2312" w:hAnsi="Calibri" w:eastAsia="仿宋_GB2312"/>
          <w:kern w:val="32"/>
          <w:sz w:val="32"/>
          <w:szCs w:val="32"/>
        </w:rPr>
        <w:t>2023年全年实行最高等级巡逻勤务70天，高等级巡逻勤务295天。按照重大节日、重大活动、重点目标、敏感节点时期社会面巡逻防控、治安管控工作需要，先后研究制定了《2023年春节中秋两节期间巡逻防控工作方案》、《2023年两会安保期间巡逻防控工作方案》、《2023年中秋、国庆两节巡逻防控安保工作方案》等17篇重点节点巡逻工作方案。组织分局警力支援社会面巡逻防控工作共15次，组织机关民警常态化支援意风区秒级战区勤务值守，检查警力下沉，做到了最大限度把警力摆上街面，让广大群众能够在街头路面“见警察、见警车、见警灯”，压低发案，增强群众安全感。分局在加大巡控警力投入的同时，还加强了对可疑人员、可疑车辆、可疑物品的盘查检查，2023年期间共盘查检查各类人员200181人次、同比提升33%，盘查检查各类车辆200093辆次，同比提升31%，最大限度防止暴力恐怖活动、极端个人行为和重特大刑事案件发生。</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Calibri" w:eastAsia="仿宋_GB2312"/>
          <w:kern w:val="32"/>
          <w:sz w:val="32"/>
          <w:szCs w:val="32"/>
        </w:rPr>
      </w:pPr>
      <w:r>
        <w:rPr>
          <w:rFonts w:hint="eastAsia" w:ascii="仿宋_GB2312" w:hAnsi="Calibri" w:eastAsia="仿宋_GB2312"/>
          <w:b/>
          <w:kern w:val="32"/>
          <w:sz w:val="32"/>
          <w:szCs w:val="32"/>
        </w:rPr>
        <w:t>三是强化应急拉动演练。</w:t>
      </w:r>
      <w:r>
        <w:rPr>
          <w:rFonts w:hint="eastAsia" w:ascii="仿宋_GB2312" w:hAnsi="Calibri" w:eastAsia="仿宋_GB2312"/>
          <w:kern w:val="32"/>
          <w:sz w:val="32"/>
          <w:szCs w:val="32"/>
        </w:rPr>
        <w:t>分局在不断加强点上的精锐处置力量的设置同时，制定与武警部队的联勤联动方案，改变以往派出所联勤模式，突出特警联勤的武装优势，完善属地派出所警力协同支援的工作措施，实施“定点、定时”巡逻防控，强化特警前置动中备勤机制，科学配置警力，确保武装震慑力和整体联动能力。按照市局“六个立足于”的工作要求构建外围巡警、攻坚特警、核心处置的武装处突、应急响应网络，有效形成了对全区的全域全时巡逻防控。截止目前，共开展多警联动行动20次，采取线上视频检查及线下“红蓝对抗”模拟警情演练、“九河四路”应急拉动演练、“135分钟”拉动演练5096次。通过拉动演练及经验总结相结合的工作效能，确保各项工作措施落实到位，巩固了辖区社会面治安整治成果。</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2</w:t>
      </w:r>
      <w:r>
        <w:rPr>
          <w:rFonts w:hint="eastAsia" w:ascii="楷体" w:hAnsi="楷体" w:eastAsia="楷体" w:cs="仿宋_GB2312"/>
          <w:sz w:val="34"/>
          <w:szCs w:val="34"/>
        </w:rPr>
        <w:t>.坚持应管尽管，以更严手段抓实治安管控</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黑体" w:hAnsi="黑体" w:eastAsia="黑体"/>
          <w:kern w:val="0"/>
          <w:sz w:val="32"/>
          <w:szCs w:val="32"/>
        </w:rPr>
      </w:pPr>
      <w:r>
        <w:rPr>
          <w:rFonts w:hint="eastAsia" w:ascii="仿宋_GB2312" w:hAnsi="Tahoma" w:eastAsia="仿宋_GB2312"/>
          <w:b/>
          <w:kern w:val="0"/>
          <w:sz w:val="32"/>
          <w:szCs w:val="32"/>
        </w:rPr>
        <w:t>一是规范信息采集。</w:t>
      </w:r>
      <w:r>
        <w:rPr>
          <w:rFonts w:hint="eastAsia" w:ascii="仿宋_GB2312" w:hAnsi="Tahoma" w:eastAsia="仿宋_GB2312"/>
          <w:kern w:val="0"/>
          <w:sz w:val="32"/>
          <w:szCs w:val="32"/>
        </w:rPr>
        <w:t>积极推进数据采集整合、内外信息共享，相继开展“一标三实”基础信息采集核录、治安复杂地区基础信息采集专项行动，规范基础信息采集并同步清理更新基础警务平台中“重错假”数据，截至目前共采集实有人口55万余人、实有房屋32万余间、实有单位9876个，累计推送、核录、纠错各类基础数据41万余条，数据准确性、鲜活性不断提升。</w:t>
      </w:r>
      <w:r>
        <w:rPr>
          <w:rFonts w:hint="eastAsia" w:ascii="仿宋_GB2312" w:hAnsi="Tahoma" w:eastAsia="仿宋_GB2312"/>
          <w:b/>
          <w:kern w:val="0"/>
          <w:sz w:val="32"/>
          <w:szCs w:val="32"/>
        </w:rPr>
        <w:t>二是推进基层治理。</w:t>
      </w:r>
      <w:r>
        <w:rPr>
          <w:rFonts w:hint="eastAsia" w:ascii="仿宋_GB2312" w:hAnsi="Tahoma" w:eastAsia="仿宋_GB2312"/>
          <w:kern w:val="0"/>
          <w:sz w:val="32"/>
          <w:szCs w:val="32"/>
        </w:rPr>
        <w:t>认真落实党建引领基层治理各项任务举措，推进“六治工程”，实现派出所所长进街道班子、社区民警进社区班子任职100%覆盖，加强以社区民警、网格员、专职辅警、在职党员、楼门栋长、志愿者等为骨干的网格群防群治组织建设，打造规模达1700余人的“河北好街坊”义警队，每周动态开展邻里守望、巡逻防护、要素收集、电诈宣传等工作，提升治理合力。</w:t>
      </w:r>
      <w:r>
        <w:rPr>
          <w:rFonts w:hint="eastAsia" w:ascii="仿宋_GB2312" w:hAnsi="Tahoma" w:eastAsia="仿宋_GB2312"/>
          <w:b/>
          <w:kern w:val="0"/>
          <w:sz w:val="32"/>
          <w:szCs w:val="32"/>
        </w:rPr>
        <w:t>三是强化专项整治。</w:t>
      </w:r>
      <w:r>
        <w:rPr>
          <w:rFonts w:hint="eastAsia" w:ascii="仿宋_GB2312" w:hAnsi="Tahoma" w:eastAsia="仿宋_GB2312"/>
          <w:kern w:val="0"/>
          <w:sz w:val="32"/>
          <w:szCs w:val="32"/>
        </w:rPr>
        <w:t>牵头维护区委、区政府门前秩序工作，规范门前值守、引导疏导、滞留人员带离、案件办理流程，与区属各单位形成运转闭环，有力维护区委、区政府门前秩序。牵头组织狮子林桥周边秩序维护工作，先后出动警力6100人次，核查跳水人员57人，稳控狮子林桥跳水队成员5人，处置有关狮子林桥跳水事件警情54起，跟进及处置网络舆情53条，全面 禁绝桥上跳水现象。牵头组织75次大型活动安保，充分发挥“501”系统作用，突出意风区、大悲院地区、海河沿线等常用场景搭建，落实警力、装备、各类列管人员的可视化指挥、调度、预警、处置，确保绝对安全，成功经验被治安总队两次在《治安工作简报》中予以推广。</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3.坚持见底见效，以更实举措深化风险化解</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黑体" w:hAnsi="黑体" w:eastAsia="黑体"/>
          <w:kern w:val="0"/>
          <w:sz w:val="32"/>
          <w:szCs w:val="32"/>
        </w:rPr>
      </w:pPr>
      <w:r>
        <w:rPr>
          <w:rFonts w:hint="eastAsia" w:ascii="仿宋_GB2312" w:hAnsi="Tahoma" w:eastAsia="仿宋_GB2312"/>
          <w:b/>
          <w:kern w:val="0"/>
          <w:sz w:val="32"/>
          <w:szCs w:val="32"/>
        </w:rPr>
        <w:t>一是强化重点人员动态管控。</w:t>
      </w:r>
      <w:r>
        <w:rPr>
          <w:rFonts w:hint="eastAsia" w:ascii="仿宋_GB2312" w:hAnsi="Tahoma" w:eastAsia="仿宋_GB2312"/>
          <w:kern w:val="0"/>
          <w:sz w:val="32"/>
          <w:szCs w:val="32"/>
        </w:rPr>
        <w:t>全面梳理分局重点人员底数情况，组织各派出所常态化开展数据清洗及线索排查，协同区街道、属事单位推动信访事项解决、人员息访罢诉。截至目前，在册362名社会访重点人员已息诉罢访撤管21名。深入开展重点人员分级稳控工作，对1376名易肇事肇祸精神障碍患者、650名社会服刑人员强化日常走访监管，会同街道共同落实关注帮扶，坚决防止漏管失控。</w:t>
      </w:r>
      <w:r>
        <w:rPr>
          <w:rFonts w:hint="eastAsia" w:ascii="仿宋_GB2312" w:hAnsi="Tahoma" w:eastAsia="仿宋_GB2312"/>
          <w:b/>
          <w:kern w:val="0"/>
          <w:sz w:val="32"/>
          <w:szCs w:val="32"/>
        </w:rPr>
        <w:t>二是强化矛盾纠纷排查化解。</w:t>
      </w:r>
      <w:r>
        <w:rPr>
          <w:rFonts w:hint="eastAsia" w:ascii="仿宋_GB2312" w:hAnsi="Tahoma" w:eastAsia="仿宋_GB2312"/>
          <w:kern w:val="0"/>
          <w:sz w:val="32"/>
          <w:szCs w:val="32"/>
        </w:rPr>
        <w:t>相继组织开展矛盾纠纷排查化解百日行动、易引发命案突出矛盾纠纷排查化解专项行动，结合“津安”系列行动按最大化原则落实各类底数全兜清，专项期间共排查各类矛盾纠纷6249件、化解5916件。强化矛盾纠纷多元化解，依托“公调对接”三级调解机制，提升联调合力，今年以来累计化解民间纠纷600余件；督导社区民警常态化开展摸排走访，今年以来累计主动发现矛盾纠纷1360件，同比提升42.7%。</w:t>
      </w:r>
      <w:r>
        <w:rPr>
          <w:rFonts w:hint="eastAsia" w:ascii="仿宋_GB2312" w:hAnsi="Tahoma" w:eastAsia="仿宋_GB2312"/>
          <w:b/>
          <w:kern w:val="0"/>
          <w:sz w:val="32"/>
          <w:szCs w:val="32"/>
        </w:rPr>
        <w:t>三是强化风险隐患清理整治。</w:t>
      </w:r>
      <w:r>
        <w:rPr>
          <w:rFonts w:hint="eastAsia" w:ascii="仿宋_GB2312" w:hAnsi="Tahoma" w:eastAsia="仿宋_GB2312"/>
          <w:kern w:val="0"/>
          <w:sz w:val="32"/>
          <w:szCs w:val="32"/>
        </w:rPr>
        <w:t>全面加强人口、单位、场所阵地控制和动态管理，常态化开展扫楼扫街行动，着重清理清查治安复杂地区和高层建筑，全面排查治理各类风险隐患。组织各派出所对118个社区和3家剧毒单位、75家易制爆单位、314家治安保卫重点单位、411家重点行业场所、8859家“九小单位”全部签订《消防主体责任告知书》，监督检查发现并责令整改火灾隐患305处、其他安全风险隐患381处，向消防、街道部门转递隐患排查转递单183件，全年我区未发生重特大消防安全火灾事故和治安灾害事故。</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4.坚持打深打透，以更大力度强化严打整治</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3" w:firstLineChars="200"/>
        <w:rPr>
          <w:rFonts w:ascii="仿宋_GB2312" w:hAnsi="Tahoma" w:eastAsia="仿宋_GB2312"/>
          <w:kern w:val="0"/>
          <w:sz w:val="32"/>
          <w:szCs w:val="32"/>
        </w:rPr>
      </w:pPr>
      <w:r>
        <w:rPr>
          <w:rFonts w:hint="eastAsia" w:ascii="仿宋_GB2312" w:hAnsi="Tahoma" w:eastAsia="仿宋_GB2312"/>
          <w:b/>
          <w:kern w:val="0"/>
          <w:sz w:val="32"/>
          <w:szCs w:val="32"/>
        </w:rPr>
        <w:t>一是强化重点打击。</w:t>
      </w:r>
      <w:r>
        <w:rPr>
          <w:rFonts w:hint="eastAsia" w:ascii="仿宋_GB2312" w:hAnsi="Tahoma" w:eastAsia="仿宋_GB2312"/>
          <w:kern w:val="0"/>
          <w:sz w:val="32"/>
          <w:szCs w:val="32"/>
        </w:rPr>
        <w:t>依托各项专项行动，整合技术手段和优势资源，与大数据应用实战中心、网安、技侦、情报等部门形成多警种联动，打团伙、断链条、清窝点，重点打击黄赌假非。截至目前，连续破获“3.20”“4.15”“6.10”“7.12”等一批有影响案件。全年破获“黄赌假非”刑事案件26起，采取刑事强制措施42人，其中支队行动队牵头组织抓获22人，占比52.38%。</w:t>
      </w:r>
      <w:r>
        <w:rPr>
          <w:rFonts w:hint="eastAsia" w:ascii="仿宋_GB2312" w:hAnsi="Tahoma" w:eastAsia="仿宋_GB2312"/>
          <w:b/>
          <w:kern w:val="0"/>
          <w:sz w:val="32"/>
          <w:szCs w:val="32"/>
        </w:rPr>
        <w:t>二是强化重点整治。</w:t>
      </w:r>
      <w:r>
        <w:rPr>
          <w:rFonts w:hint="eastAsia" w:ascii="仿宋_GB2312" w:hAnsi="Tahoma" w:eastAsia="仿宋_GB2312"/>
          <w:kern w:val="0"/>
          <w:sz w:val="32"/>
          <w:szCs w:val="32"/>
        </w:rPr>
        <w:t>针对海河沿线燃放烟花爆竹突出问题，新年伊始，即牵头组织对5.3公里海河沿线亲水平台开展占领式控制。春节后，标准不降、力度不减，促使海河沿线规模性燃放问题得到有效遏制。同时，围绕违法“储运销燃”重拳出击，发挥专业侦查队伍优势，借助公安大数据赋能，不断获取案件重要线索，全面提升打击力度。截至目前，查处非法“储运销燃”案件76起，行政拘留63人，罚款1900元，收缴烟花爆竹1009箱。</w:t>
      </w:r>
      <w:r>
        <w:rPr>
          <w:rFonts w:hint="eastAsia" w:ascii="仿宋_GB2312" w:hAnsi="Tahoma" w:eastAsia="仿宋_GB2312"/>
          <w:b/>
          <w:kern w:val="0"/>
          <w:sz w:val="32"/>
          <w:szCs w:val="32"/>
        </w:rPr>
        <w:t>三是强化考核增效。</w:t>
      </w:r>
      <w:r>
        <w:rPr>
          <w:rFonts w:hint="eastAsia" w:ascii="仿宋_GB2312" w:hAnsi="Tahoma" w:eastAsia="仿宋_GB2312"/>
          <w:kern w:val="0"/>
          <w:sz w:val="32"/>
          <w:szCs w:val="32"/>
        </w:rPr>
        <w:t>以召开重点工作推动会、考核研判会、组建专项督导组、治安支队行动队与派出所协同作战等方式，对绩效考核工作进行综合推进。重要考核项目每日汇总，定期公示通报，专人跟踪督办，促进各派出所绩效考核和严打整治有机结合，工作质效双提升。截至目前，“三非”案件受理14起，查结13起；治安案件受理4957起，结案1960起，结案率达到39.54%；行政拘留731人，其中行动队单独或牵头抓获144人，占比19.70%。</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黑体" w:hAnsi="黑体" w:eastAsia="黑体"/>
          <w:kern w:val="0"/>
          <w:sz w:val="32"/>
          <w:szCs w:val="32"/>
        </w:rPr>
      </w:pPr>
      <w:r>
        <w:rPr>
          <w:rFonts w:hint="eastAsia" w:ascii="楷体" w:hAnsi="楷体" w:eastAsia="楷体" w:cs="仿宋_GB2312"/>
          <w:sz w:val="34"/>
          <w:szCs w:val="34"/>
        </w:rPr>
        <w:t>5.落实“谁执法谁普法”执法责任制。</w:t>
      </w:r>
      <w:r>
        <w:rPr>
          <w:rFonts w:hint="eastAsia" w:ascii="仿宋_GB2312" w:hAnsi="仿宋_GB2312" w:eastAsia="仿宋_GB2312" w:cs="仿宋_GB2312"/>
          <w:sz w:val="32"/>
          <w:szCs w:val="32"/>
        </w:rPr>
        <w:t>结合习近平新时代中国特色社会主义主题教育持续深入学习习近平法治思想，参与区司法局主办的“美好生活民法典相伴”主题宣传活动，配合区司法局开展“八五”普法中期推动，同时对9月1日起实施的《天津市法治宣传教育条例》、新修订《行政复议法》进行广泛宣传 ，开展《天津市公安局警情现场处置执法指引》学习培训等工作。</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楷体" w:hAnsi="楷体" w:eastAsia="楷体" w:cs="仿宋_GB2312"/>
          <w:sz w:val="34"/>
          <w:szCs w:val="34"/>
        </w:rPr>
      </w:pPr>
      <w:r>
        <w:rPr>
          <w:rFonts w:hint="eastAsia" w:ascii="楷体" w:hAnsi="楷体" w:eastAsia="楷体" w:cs="仿宋_GB2312"/>
          <w:sz w:val="34"/>
          <w:szCs w:val="34"/>
        </w:rPr>
        <w:t>6.落实信访责任，推动源头治理。</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开展初信初访、重复访和公安越级访治理等专项工作，召开信访工作领导小组会议、疑难信访案件专题研判推动会22场，将信访工作作为每周例会固定议题，先后7次对上级交办重点信访事项、基层单位提交的疑难信访事项开展集中研判。</w:t>
      </w:r>
      <w:r>
        <w:rPr>
          <w:rFonts w:hint="eastAsia" w:ascii="仿宋_GB2312" w:hAnsi="仿宋_GB2312" w:eastAsia="仿宋_GB2312" w:cs="仿宋_GB2312"/>
          <w:b/>
          <w:sz w:val="32"/>
          <w:szCs w:val="32"/>
        </w:rPr>
        <w:t>一是厘清源头治理方向。</w:t>
      </w:r>
      <w:r>
        <w:rPr>
          <w:rFonts w:hint="eastAsia" w:ascii="仿宋_GB2312" w:hAnsi="仿宋_GB2312" w:eastAsia="仿宋_GB2312" w:cs="仿宋_GB2312"/>
          <w:sz w:val="32"/>
          <w:szCs w:val="32"/>
        </w:rPr>
        <w:t>建立“控制信访增量、消减信访存量、防范信访变量”3张清单，明确5方面15项具体举措，着力提高及时就地解决信访问题、化解矛盾纠纷的质效。</w:t>
      </w:r>
      <w:r>
        <w:rPr>
          <w:rFonts w:hint="eastAsia" w:ascii="仿宋_GB2312" w:hAnsi="仿宋_GB2312" w:eastAsia="仿宋_GB2312" w:cs="仿宋_GB2312"/>
          <w:b/>
          <w:sz w:val="32"/>
          <w:szCs w:val="32"/>
        </w:rPr>
        <w:t>二是抓实来访接待工作。</w:t>
      </w:r>
      <w:r>
        <w:rPr>
          <w:rFonts w:hint="eastAsia" w:ascii="仿宋_GB2312" w:hAnsi="仿宋_GB2312" w:eastAsia="仿宋_GB2312" w:cs="仿宋_GB2312"/>
          <w:sz w:val="32"/>
          <w:szCs w:val="32"/>
        </w:rPr>
        <w:t>分局党委委员带头落实领导干部接访阅批群众来信制度，累计接待来访群众91批次，阅批群众来信90件，亲盯亲办推动疑难问题解决。</w:t>
      </w:r>
      <w:r>
        <w:rPr>
          <w:rFonts w:hint="eastAsia" w:ascii="仿宋_GB2312" w:hAnsi="仿宋_GB2312" w:eastAsia="仿宋_GB2312" w:cs="仿宋_GB2312"/>
          <w:b/>
          <w:sz w:val="32"/>
          <w:szCs w:val="32"/>
        </w:rPr>
        <w:t>三是强化首接首办责任。</w:t>
      </w:r>
      <w:r>
        <w:rPr>
          <w:rFonts w:hint="eastAsia" w:ascii="仿宋_GB2312" w:hAnsi="仿宋_GB2312" w:eastAsia="仿宋_GB2312" w:cs="仿宋_GB2312"/>
          <w:sz w:val="32"/>
          <w:szCs w:val="32"/>
        </w:rPr>
        <w:t>公开信访投诉渠道，分局为10个派出所统一制作悬挂信访举报投诉公示栏，公示所队领导信息、联系方式、监督电话，保证群众遇到难事愁事烦心事，第一时间找到人、解决事。</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二、存在的不足和原因；</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仿宋_GB2312" w:hAnsi="仿宋_GB2312" w:eastAsia="仿宋_GB2312" w:cs="仿宋_GB2312"/>
          <w:sz w:val="32"/>
          <w:szCs w:val="32"/>
        </w:rPr>
      </w:pPr>
      <w:r>
        <w:rPr>
          <w:rFonts w:hint="eastAsia" w:ascii="楷体" w:hAnsi="楷体" w:eastAsia="楷体" w:cs="仿宋_GB2312"/>
          <w:sz w:val="34"/>
          <w:szCs w:val="34"/>
        </w:rPr>
        <w:t>(一)学习宣传贯彻习近平法治思想还存在不深入的问题。</w:t>
      </w:r>
      <w:r>
        <w:rPr>
          <w:rFonts w:hint="eastAsia" w:ascii="仿宋_GB2312" w:hAnsi="仿宋_GB2312" w:eastAsia="仿宋_GB2312" w:cs="仿宋_GB2312"/>
          <w:sz w:val="32"/>
          <w:szCs w:val="32"/>
        </w:rPr>
        <w:t>学深悟透、学以致用方面仍有欠缺，利用习近平法治思想指导实践、解决问题、推动公安工作的意识能力不强，把贯彻落实举措转化为长效机制不多。</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今年分局整体瑕疵败诉较多，尤其是在化解信访积案过程中，复议讼案件呈上升趋势，对复议诉讼关注少，影响分局此项考核成绩，也折射出分局在行政执法培训和监督机制建设上，有未解决到位的问题；另外，在法治政府建设三个批次示范创建活动评选中，我们河北区在综合示范地区和单项示范项目均没有斩获，反映出我区的法治政府建设水平不高的问题。</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仿宋_GB2312" w:hAnsi="仿宋_GB2312" w:eastAsia="仿宋_GB2312" w:cs="仿宋_GB2312"/>
          <w:sz w:val="32"/>
          <w:szCs w:val="32"/>
        </w:rPr>
      </w:pPr>
      <w:r>
        <w:rPr>
          <w:rFonts w:hint="eastAsia" w:ascii="楷体" w:hAnsi="楷体" w:eastAsia="楷体" w:cs="仿宋_GB2312"/>
          <w:sz w:val="34"/>
          <w:szCs w:val="34"/>
        </w:rPr>
        <w:t>（二）法治制度、法治监督方面还存在不健全的环节。</w:t>
      </w:r>
      <w:r>
        <w:rPr>
          <w:rFonts w:hint="eastAsia" w:ascii="仿宋_GB2312" w:hAnsi="仿宋_GB2312" w:eastAsia="仿宋_GB2312" w:cs="仿宋_GB2312"/>
          <w:sz w:val="32"/>
          <w:szCs w:val="32"/>
        </w:rPr>
        <w:t>法治制度建设体系还不够完善，推进公安法治建设工作还不够充分和平衡还需要进一步完善和加强相关制度；法治监督还不够全面，要持续深化构建执法监督大格局体系。</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仿宋_GB2312" w:hAnsi="仿宋_GB2312" w:eastAsia="仿宋_GB2312" w:cs="仿宋_GB2312"/>
          <w:sz w:val="32"/>
          <w:szCs w:val="32"/>
        </w:rPr>
      </w:pPr>
      <w:r>
        <w:rPr>
          <w:rFonts w:hint="eastAsia" w:ascii="楷体" w:hAnsi="楷体" w:eastAsia="楷体" w:cs="仿宋_GB2312"/>
          <w:sz w:val="34"/>
          <w:szCs w:val="34"/>
        </w:rPr>
        <w:t>（三）执法队伍能力建设方面还存在不够强的地方。</w:t>
      </w:r>
      <w:r>
        <w:rPr>
          <w:rFonts w:hint="eastAsia" w:ascii="仿宋_GB2312" w:hAnsi="仿宋_GB2312" w:eastAsia="仿宋_GB2312" w:cs="仿宋_GB2312"/>
          <w:sz w:val="32"/>
          <w:szCs w:val="32"/>
        </w:rPr>
        <w:t>部分执法人员执法经验不足、学习主动性和紧迫性不高、提升执法质效思考不深，执法能力和执法素质有待进一步提升；普法工作的针对性和实效性有待增强，创新及运用科技大数据手段进行普法的能力有待改善。</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三、2023年党政主要负责人履行推进法治建设第一责任人职责的有关情况；</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楷体" w:hAnsi="楷体" w:eastAsia="楷体" w:cs="仿宋_GB2312"/>
          <w:sz w:val="34"/>
          <w:szCs w:val="34"/>
        </w:rPr>
      </w:pPr>
      <w:r>
        <w:rPr>
          <w:rFonts w:hint="eastAsia" w:ascii="方正楷体_GBK" w:hAnsi="方正楷体_GBK" w:eastAsia="方正楷体_GBK" w:cs="方正楷体_GBK"/>
          <w:sz w:val="32"/>
          <w:szCs w:val="32"/>
        </w:rPr>
        <w:t>（一）</w:t>
      </w:r>
      <w:r>
        <w:rPr>
          <w:rFonts w:hint="eastAsia" w:ascii="楷体" w:hAnsi="楷体" w:eastAsia="楷体" w:cs="仿宋_GB2312"/>
          <w:sz w:val="34"/>
          <w:szCs w:val="34"/>
        </w:rPr>
        <w:t>做习近平法治思想的“信仰者”，推动学习贯彻走深走实。</w:t>
      </w:r>
      <w:r>
        <w:rPr>
          <w:rFonts w:hint="eastAsia" w:ascii="仿宋_GB2312" w:hAnsi="仿宋_GB2312" w:eastAsia="仿宋_GB2312" w:cs="仿宋_GB2312"/>
          <w:sz w:val="34"/>
          <w:szCs w:val="34"/>
        </w:rPr>
        <w:t>组织党委理论中心组专题学习习近平法治思想2次、新修订《行政复议法》2次等，督促各级党组织以及全体民警开展集中学习和自学。</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仿宋_GB2312" w:hAnsi="仿宋_GB2312" w:eastAsia="仿宋_GB2312" w:cs="仿宋_GB2312"/>
          <w:sz w:val="34"/>
          <w:szCs w:val="34"/>
        </w:rPr>
      </w:pPr>
      <w:r>
        <w:rPr>
          <w:rFonts w:hint="eastAsia" w:ascii="楷体" w:hAnsi="楷体" w:eastAsia="楷体" w:cs="仿宋_GB2312"/>
          <w:sz w:val="34"/>
          <w:szCs w:val="34"/>
        </w:rPr>
        <w:t>（二）深化顶层设计。</w:t>
      </w:r>
      <w:r>
        <w:rPr>
          <w:rFonts w:hint="eastAsia" w:ascii="仿宋_GB2312" w:hAnsi="仿宋_GB2312" w:eastAsia="仿宋_GB2312" w:cs="仿宋_GB2312"/>
          <w:sz w:val="34"/>
          <w:szCs w:val="34"/>
        </w:rPr>
        <w:t>年内主持召开执法监督管理委员会11次，对重大执法决策、案件办理风险评估机制实行集体研究、审议。同时，将执法情况纳入党委重要议事日程，今年以来，共召开7次局务会，通报分局40余件瑕疵案件、执法陋习，深挖问题根源，强力督促整改，不断提升执法能力。</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340" w:firstLineChars="100"/>
        <w:rPr>
          <w:rFonts w:ascii="仿宋_GB2312" w:hAnsi="仿宋_GB2312" w:eastAsia="仿宋_GB2312" w:cs="仿宋_GB2312"/>
          <w:sz w:val="34"/>
          <w:szCs w:val="34"/>
        </w:rPr>
      </w:pPr>
      <w:r>
        <w:rPr>
          <w:rFonts w:hint="eastAsia" w:ascii="仿宋_GB2312" w:hAnsi="仿宋_GB2312" w:eastAsia="仿宋_GB2312" w:cs="仿宋_GB2312"/>
          <w:sz w:val="34"/>
          <w:szCs w:val="34"/>
        </w:rPr>
        <w:t>（三）履行行政复议监督职责。结合《行政复议法》的重大修订，组织分局各单位一把手及分管领导，以每周一课、分局督导会、周调度会等形式多次培训学习，坚持贯彻落实复议工作强化中国共产党的领导及实质性解决行政争议主渠道立法精神。</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510" w:firstLineChars="150"/>
        <w:rPr>
          <w:rFonts w:ascii="仿宋_GB2312" w:hAnsi="仿宋_GB2312" w:eastAsia="仿宋_GB2312" w:cs="仿宋_GB2312"/>
          <w:sz w:val="34"/>
          <w:szCs w:val="34"/>
        </w:rPr>
      </w:pPr>
      <w:r>
        <w:rPr>
          <w:rFonts w:hint="eastAsia" w:ascii="仿宋_GB2312" w:hAnsi="仿宋_GB2312" w:eastAsia="仿宋_GB2312" w:cs="仿宋_GB2312"/>
          <w:sz w:val="34"/>
          <w:szCs w:val="34"/>
        </w:rPr>
        <w:t>（四）高度重视行政机关负责人出庭应诉工作，组织研究制定《分局出庭应诉补充工作规定》等配套制度，要求班子成员履行出庭应诉职责，全年出庭应诉率100%，实现应出尽出。 今年以来，我分局一审行政诉讼60余件，到任后目前未出现行政败诉案件。</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510" w:firstLineChars="150"/>
        <w:rPr>
          <w:rFonts w:ascii="仿宋_GB2312" w:hAnsi="仿宋_GB2312" w:eastAsia="仿宋_GB2312" w:cs="仿宋_GB2312"/>
          <w:sz w:val="34"/>
          <w:szCs w:val="34"/>
        </w:rPr>
      </w:pPr>
      <w:r>
        <w:rPr>
          <w:rFonts w:hint="eastAsia" w:ascii="仿宋_GB2312" w:hAnsi="仿宋_GB2312" w:eastAsia="仿宋_GB2312" w:cs="仿宋_GB2312"/>
          <w:sz w:val="34"/>
          <w:szCs w:val="34"/>
        </w:rPr>
        <w:t>（五）在第十个国家宪法日，即12月4日上午举行宪法宣誓式仪式，同时组织新任职的领导干部、新入职的民警参与此次宪法宣誓仪</w:t>
      </w:r>
      <w:r>
        <w:rPr>
          <w:rFonts w:hint="eastAsia" w:ascii="仿宋_GB2312" w:hAnsi="仿宋_GB2312" w:eastAsia="仿宋_GB2312" w:cs="仿宋_GB2312"/>
          <w:color w:val="000000"/>
          <w:sz w:val="34"/>
          <w:szCs w:val="34"/>
        </w:rPr>
        <w:t>作为执法协调小组和守法普法小组组长，多次就新修订《行政复议法》，协调、推动河北区司法局组织全区各执法单位培训、学习和宣传等工作。</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四、2024年推进法治政府建设的主要安排。</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仿宋_GB2312" w:hAnsi="仿宋_GB2312" w:eastAsia="仿宋_GB2312" w:cs="仿宋_GB2312"/>
          <w:sz w:val="32"/>
          <w:szCs w:val="32"/>
        </w:rPr>
      </w:pPr>
      <w:r>
        <w:rPr>
          <w:rFonts w:hint="eastAsia" w:ascii="楷体" w:hAnsi="楷体" w:eastAsia="楷体" w:cs="仿宋_GB2312"/>
          <w:sz w:val="34"/>
          <w:szCs w:val="34"/>
        </w:rPr>
        <w:t>一是坚持以人民为中心，积极回应人民群众对法治公安建设的新要求新期待。</w:t>
      </w:r>
      <w:r>
        <w:rPr>
          <w:rFonts w:hint="eastAsia" w:ascii="仿宋_GB2312" w:eastAsia="仿宋_GB2312"/>
          <w:sz w:val="32"/>
          <w:szCs w:val="32"/>
        </w:rPr>
        <w:t>深入开展“我为群众办实事”实践活动，大力推进“枫桥式”派出所创建，常态化开展“下沉社区、入列轮值”，积极排查化解矛盾纠纷，切实把纠纷化解在早、处置在小，全力防范化解重大涉稳风险，维护社会大局稳定。常态化推进扫黑除恶，严厉打击电信诈骗以及人民群众深恶痛绝的“小案”，坚决打击“黄赌毒”“食药环”“盗抢骗”等危害民生的违法犯罪活动，严惩破坏市场竞争秩序、侵害市场主体合法权益的犯罪。在严格依法履职的同时，准确把握社会心态和群众情绪，注重理性执法、精细执法、人性化执法。深化公安“放管服”改革，深入推进“互联网+公安政务服务”便民化，实现审批服务网上办，真正让数据多跑路、群众少跑腿，让人民群众有更多更直接更实在的获得感。</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80" w:firstLineChars="200"/>
        <w:rPr>
          <w:rFonts w:ascii="仿宋_GB2312" w:hAnsi="仿宋_GB2312" w:eastAsia="仿宋_GB2312" w:cs="仿宋_GB2312"/>
          <w:sz w:val="32"/>
          <w:szCs w:val="32"/>
        </w:rPr>
      </w:pPr>
      <w:r>
        <w:rPr>
          <w:rFonts w:hint="eastAsia" w:ascii="楷体" w:hAnsi="楷体" w:eastAsia="楷体" w:cs="仿宋_GB2312"/>
          <w:sz w:val="34"/>
          <w:szCs w:val="34"/>
        </w:rPr>
        <w:t>二是全面落实严格规范公正文明执法要求，持续推进公安执法规范化建设。</w:t>
      </w:r>
      <w:r>
        <w:rPr>
          <w:rFonts w:hint="eastAsia" w:ascii="仿宋_GB2312" w:eastAsia="仿宋_GB2312"/>
          <w:sz w:val="32"/>
          <w:szCs w:val="32"/>
        </w:rPr>
        <w:t>扎实做好“六稳”工作、全面落实“六保”任务，充分发挥公安机关职能作用，主动服务统筹推进疫情防控和经济社会发展工作，在依法严厉打击严重违法犯罪的同时，包容审慎执法推动稳经济、促发展、保民生，且要持续推进执法规范化建设，切实提升执法水平。强化执法全流程全要素监管，推动执法办案管理中心提质增效。深化“阳光警务”机制改革，自觉接受社会各方面监督，增强内外部执法监督合力。深入推进政法跨部门大数据平台建设应用，强化数据精准赋能，有效支撑防范管控和精准打击。</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66" w:firstLineChars="196"/>
        <w:rPr>
          <w:rFonts w:ascii="楷体" w:hAnsi="楷体" w:eastAsia="楷体" w:cs="仿宋_GB2312"/>
          <w:sz w:val="34"/>
          <w:szCs w:val="34"/>
        </w:rPr>
      </w:pPr>
      <w:r>
        <w:rPr>
          <w:rFonts w:hint="eastAsia" w:ascii="楷体" w:hAnsi="楷体" w:eastAsia="楷体" w:cs="仿宋_GB2312"/>
          <w:sz w:val="34"/>
          <w:szCs w:val="34"/>
        </w:rPr>
        <w:t>三是加强素质能力建设，持续推进“红色警队”创建。</w:t>
      </w:r>
    </w:p>
    <w:p>
      <w:pPr>
        <w:pBdr>
          <w:top w:val="single" w:color="FFFFFF" w:sz="4" w:space="0"/>
          <w:left w:val="single" w:color="FFFFFF" w:sz="4" w:space="0"/>
          <w:bottom w:val="single" w:color="FFFFFF" w:sz="4" w:space="31"/>
          <w:right w:val="single" w:color="FFFFFF" w:sz="4" w:space="0"/>
        </w:pBdr>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全面加强队伍纪律作风建设，以前所未有的力度严厉查处民警违规违纪违法问题，进一步压实全面从严管党治警主体责任。严格落实防止干预司法“三个规定”，坚持严管厚爱结合、激励约束并重，大力选树培养典型，榜样群组示范引领作用进一步凸显。深入推进新时代公安执法理念大讨论，引导全警将习近平法治思想作为各级公安机关理论学习和教育培训的必修课，不断提高政治判断力、政治领悟力、政治执行力。不断提高运用法治思维和法治方式打击犯罪、化解矛盾、维护稳定、应对风险的能力和水平。进一步突出实战实用实效，加强专项训练和实战演练、实战应用相结合的执法培训机制，不断提高执法素质、执法能力和执法质量，努力实现法律效果和政治效果、社会效果有机统一。</w:t>
      </w:r>
    </w:p>
    <w:p>
      <w:pPr>
        <w:spacing w:line="360" w:lineRule="auto"/>
        <w:rPr>
          <w:rFonts w:ascii="黑体" w:hAnsi="黑体" w:eastAsia="黑体" w:cs="黑体"/>
          <w:sz w:val="34"/>
          <w:szCs w:val="34"/>
        </w:rPr>
      </w:pPr>
    </w:p>
    <w:p>
      <w:pPr>
        <w:pStyle w:val="2"/>
        <w:spacing w:line="360" w:lineRule="auto"/>
        <w:ind w:firstLine="0" w:firstLineChars="0"/>
        <w:rPr>
          <w:rFonts w:ascii="方正仿宋_GBK" w:hAnsi="方正仿宋_GBK" w:eastAsia="方正仿宋_GBK" w:cs="方正仿宋_GBK"/>
          <w:sz w:val="32"/>
          <w:szCs w:val="32"/>
        </w:rPr>
      </w:pPr>
      <w:bookmarkStart w:id="0" w:name="_GoBack"/>
      <w:bookmarkEnd w:id="0"/>
    </w:p>
    <w:p>
      <w:pPr>
        <w:pStyle w:val="2"/>
        <w:spacing w:line="360" w:lineRule="auto"/>
        <w:ind w:firstLine="0" w:firstLineChars="0"/>
        <w:rPr>
          <w:rFonts w:ascii="方正仿宋_GBK" w:hAnsi="方正仿宋_GBK" w:eastAsia="方正仿宋_GBK" w:cs="方正仿宋_GBK"/>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w:pict>
        <v:shape id="文本框 1025"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w:pict>
        <v:shape id="文本框 1026"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53EE59C7"/>
    <w:rsid w:val="00131E95"/>
    <w:rsid w:val="004A5A03"/>
    <w:rsid w:val="004B5087"/>
    <w:rsid w:val="004F5BC9"/>
    <w:rsid w:val="00565D11"/>
    <w:rsid w:val="005F5DA2"/>
    <w:rsid w:val="00624EA8"/>
    <w:rsid w:val="00685831"/>
    <w:rsid w:val="00767CB1"/>
    <w:rsid w:val="00900870"/>
    <w:rsid w:val="0095375D"/>
    <w:rsid w:val="00A0191F"/>
    <w:rsid w:val="00C3750F"/>
    <w:rsid w:val="00CB02A2"/>
    <w:rsid w:val="00CD508F"/>
    <w:rsid w:val="01DE1684"/>
    <w:rsid w:val="02001DC7"/>
    <w:rsid w:val="021C7465"/>
    <w:rsid w:val="04B70E17"/>
    <w:rsid w:val="05FC72D5"/>
    <w:rsid w:val="093D6C6A"/>
    <w:rsid w:val="0A6F3B4E"/>
    <w:rsid w:val="0ADD3375"/>
    <w:rsid w:val="0CE54941"/>
    <w:rsid w:val="0E3F23F6"/>
    <w:rsid w:val="0F105A5C"/>
    <w:rsid w:val="1072615C"/>
    <w:rsid w:val="10B9130D"/>
    <w:rsid w:val="1170262C"/>
    <w:rsid w:val="1180123E"/>
    <w:rsid w:val="11873BCE"/>
    <w:rsid w:val="14A75CB5"/>
    <w:rsid w:val="16547F05"/>
    <w:rsid w:val="17D10DA1"/>
    <w:rsid w:val="17E709A7"/>
    <w:rsid w:val="194D1C7E"/>
    <w:rsid w:val="19B36B6B"/>
    <w:rsid w:val="19F92F29"/>
    <w:rsid w:val="1BAE1ABC"/>
    <w:rsid w:val="1D0D6FD2"/>
    <w:rsid w:val="1E6471A5"/>
    <w:rsid w:val="1FDF574D"/>
    <w:rsid w:val="213448D0"/>
    <w:rsid w:val="266A781A"/>
    <w:rsid w:val="26794C6E"/>
    <w:rsid w:val="285F29C1"/>
    <w:rsid w:val="294B4660"/>
    <w:rsid w:val="2B860C63"/>
    <w:rsid w:val="2CBA2EE9"/>
    <w:rsid w:val="2DF020F3"/>
    <w:rsid w:val="2E3C0D3F"/>
    <w:rsid w:val="2ECC5E09"/>
    <w:rsid w:val="2F076B39"/>
    <w:rsid w:val="317C6D5C"/>
    <w:rsid w:val="31FE8CF7"/>
    <w:rsid w:val="33EF438C"/>
    <w:rsid w:val="34A112B2"/>
    <w:rsid w:val="36E301AD"/>
    <w:rsid w:val="376F1C2C"/>
    <w:rsid w:val="377B30EE"/>
    <w:rsid w:val="383259FF"/>
    <w:rsid w:val="3A501AF5"/>
    <w:rsid w:val="3B7E8DD5"/>
    <w:rsid w:val="3CFD4F60"/>
    <w:rsid w:val="3D2D6064"/>
    <w:rsid w:val="3D6E1076"/>
    <w:rsid w:val="3DB039ED"/>
    <w:rsid w:val="3DCF8D3D"/>
    <w:rsid w:val="3EEFBD7C"/>
    <w:rsid w:val="3F2D7DB9"/>
    <w:rsid w:val="3F393156"/>
    <w:rsid w:val="3F4A7D9A"/>
    <w:rsid w:val="3FCE4260"/>
    <w:rsid w:val="3FFF66C4"/>
    <w:rsid w:val="418856D3"/>
    <w:rsid w:val="41B73EC8"/>
    <w:rsid w:val="43327CE7"/>
    <w:rsid w:val="447F4143"/>
    <w:rsid w:val="45726CB0"/>
    <w:rsid w:val="47CCED70"/>
    <w:rsid w:val="48150FFA"/>
    <w:rsid w:val="4846672B"/>
    <w:rsid w:val="487A240F"/>
    <w:rsid w:val="49AC4302"/>
    <w:rsid w:val="4AC55507"/>
    <w:rsid w:val="4D5D51C6"/>
    <w:rsid w:val="4E78FED2"/>
    <w:rsid w:val="51822400"/>
    <w:rsid w:val="5198604F"/>
    <w:rsid w:val="53EE59C7"/>
    <w:rsid w:val="556F7895"/>
    <w:rsid w:val="5BCD68E1"/>
    <w:rsid w:val="5CA23D84"/>
    <w:rsid w:val="5F097C50"/>
    <w:rsid w:val="5F6A2D3F"/>
    <w:rsid w:val="5F7F0E3E"/>
    <w:rsid w:val="5F8C1465"/>
    <w:rsid w:val="619DEB56"/>
    <w:rsid w:val="633D2B58"/>
    <w:rsid w:val="645961F3"/>
    <w:rsid w:val="653B1E49"/>
    <w:rsid w:val="654A0906"/>
    <w:rsid w:val="65F5F93A"/>
    <w:rsid w:val="66263A87"/>
    <w:rsid w:val="67F76A4D"/>
    <w:rsid w:val="6BAB881E"/>
    <w:rsid w:val="6BEC1690"/>
    <w:rsid w:val="6BF7E029"/>
    <w:rsid w:val="6BFBD146"/>
    <w:rsid w:val="6C2811EF"/>
    <w:rsid w:val="6C7A6CDC"/>
    <w:rsid w:val="6DFDD2B6"/>
    <w:rsid w:val="6E4F6D8A"/>
    <w:rsid w:val="6EB74DBD"/>
    <w:rsid w:val="721236CB"/>
    <w:rsid w:val="72FF5E82"/>
    <w:rsid w:val="74211FD2"/>
    <w:rsid w:val="759D54DF"/>
    <w:rsid w:val="76771CC0"/>
    <w:rsid w:val="77506EE5"/>
    <w:rsid w:val="775E40CF"/>
    <w:rsid w:val="77B969BE"/>
    <w:rsid w:val="77BFC82A"/>
    <w:rsid w:val="77FB42E1"/>
    <w:rsid w:val="79FF977E"/>
    <w:rsid w:val="7A5FF3CB"/>
    <w:rsid w:val="7C0B1BC2"/>
    <w:rsid w:val="7C1A0EAF"/>
    <w:rsid w:val="7D6F8499"/>
    <w:rsid w:val="7DEB08B4"/>
    <w:rsid w:val="7DFBD414"/>
    <w:rsid w:val="7E0B72B6"/>
    <w:rsid w:val="7EA70EA4"/>
    <w:rsid w:val="7EFDA130"/>
    <w:rsid w:val="7F272BD0"/>
    <w:rsid w:val="7F6D4ADB"/>
    <w:rsid w:val="7F7D1058"/>
    <w:rsid w:val="7FBBBCAE"/>
    <w:rsid w:val="7FCE854C"/>
    <w:rsid w:val="7FF6D796"/>
    <w:rsid w:val="7FF711A4"/>
    <w:rsid w:val="8BED2091"/>
    <w:rsid w:val="9D4B5CFF"/>
    <w:rsid w:val="9FFF64A4"/>
    <w:rsid w:val="AB3C3585"/>
    <w:rsid w:val="B9F61A71"/>
    <w:rsid w:val="BA7B23C6"/>
    <w:rsid w:val="BF7509E6"/>
    <w:rsid w:val="CBFDEE0B"/>
    <w:rsid w:val="CDFF2100"/>
    <w:rsid w:val="CFCFEFE4"/>
    <w:rsid w:val="DD8B5AF0"/>
    <w:rsid w:val="DE5A175B"/>
    <w:rsid w:val="DEC52838"/>
    <w:rsid w:val="DF5ED745"/>
    <w:rsid w:val="EE7F5DCE"/>
    <w:rsid w:val="EEBF183F"/>
    <w:rsid w:val="F3FD7CFE"/>
    <w:rsid w:val="F76F49C5"/>
    <w:rsid w:val="F76FBAEA"/>
    <w:rsid w:val="F7FFD130"/>
    <w:rsid w:val="FAFE4387"/>
    <w:rsid w:val="FB4FF3BE"/>
    <w:rsid w:val="FCB77D46"/>
    <w:rsid w:val="FDBF1C2B"/>
    <w:rsid w:val="FDFFDB39"/>
    <w:rsid w:val="FE3BEFD7"/>
    <w:rsid w:val="FE3FBC17"/>
    <w:rsid w:val="FE6E97EA"/>
    <w:rsid w:val="FE734873"/>
    <w:rsid w:val="FF75D651"/>
    <w:rsid w:val="FF7DF3FF"/>
    <w:rsid w:val="FF9D0E6D"/>
    <w:rsid w:val="FFD72407"/>
    <w:rsid w:val="FFDA68FC"/>
    <w:rsid w:val="FFF62372"/>
    <w:rsid w:val="FFFEA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autoRedefine/>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1424</Words>
  <Characters>8121</Characters>
  <Lines>67</Lines>
  <Paragraphs>19</Paragraphs>
  <TotalTime>73</TotalTime>
  <ScaleCrop>false</ScaleCrop>
  <LinksUpToDate>false</LinksUpToDate>
  <CharactersWithSpaces>9526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2020-10-14T14:17:00Z</dcterms:created>
  <dc:creator>悠然</dc:creator>
  <cp:lastModifiedBy>Administrator</cp:lastModifiedBy>
  <cp:lastPrinted>2021-03-04T02:18:00Z</cp:lastPrinted>
  <dcterms:modified xsi:type="dcterms:W3CDTF">2024-03-27T03:41:56Z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4DF918B606164845954E9E669A6D0B94</vt:lpwstr>
  </property>
</Properties>
</file>